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b/>
          <w:color w:val="000000" w:themeColor="text1"/>
          <w:sz w:val="30"/>
          <w:szCs w:val="30"/>
        </w:rPr>
      </w:pPr>
      <w:r>
        <w:rPr>
          <w:rFonts w:hint="eastAsia" w:ascii="Times New Roman" w:hAnsi="Times New Roman"/>
          <w:b/>
          <w:color w:val="000000" w:themeColor="text1"/>
          <w:sz w:val="30"/>
          <w:szCs w:val="30"/>
        </w:rPr>
        <w:t>致远至恒  务学悟真</w:t>
      </w:r>
    </w:p>
    <w:p>
      <w:pPr>
        <w:rPr>
          <w:rFonts w:ascii="Times New Roman" w:hAnsi="Times New Roman"/>
          <w:color w:val="000000" w:themeColor="text1"/>
        </w:rPr>
      </w:pPr>
    </w:p>
    <w:p>
      <w:pPr>
        <w:rPr>
          <w:rFonts w:ascii="Times New Roman" w:hAnsi="Times New Roman"/>
          <w:color w:val="000000" w:themeColor="text1"/>
        </w:rPr>
      </w:pPr>
    </w:p>
    <w:p>
      <w:pPr>
        <w:rPr>
          <w:rFonts w:ascii="Times New Roman" w:hAnsi="Times New Roman"/>
          <w:color w:val="000000" w:themeColor="text1"/>
        </w:rPr>
      </w:pPr>
      <w:r>
        <w:rPr>
          <w:rFonts w:ascii="Times New Roman" w:hAnsi="Times New Roman"/>
          <w:color w:val="000000" w:themeColor="text1"/>
        </w:rPr>
        <w:drawing>
          <wp:inline distT="0" distB="0" distL="114300" distR="114300">
            <wp:extent cx="1133475" cy="1012190"/>
            <wp:effectExtent l="0" t="0" r="9525" b="16510"/>
            <wp:docPr id="2" name="图片 2" descr="xiao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xiaohui"/>
                    <pic:cNvPicPr>
                      <a:picLocks noChangeAspect="1"/>
                    </pic:cNvPicPr>
                  </pic:nvPicPr>
                  <pic:blipFill>
                    <a:blip r:embed="rId7" cstate="print"/>
                    <a:stretch>
                      <a:fillRect/>
                    </a:stretch>
                  </pic:blipFill>
                  <pic:spPr>
                    <a:xfrm>
                      <a:off x="0" y="0"/>
                      <a:ext cx="1133475" cy="1012190"/>
                    </a:xfrm>
                    <a:prstGeom prst="rect">
                      <a:avLst/>
                    </a:prstGeom>
                    <a:noFill/>
                    <a:ln>
                      <a:noFill/>
                    </a:ln>
                  </pic:spPr>
                </pic:pic>
              </a:graphicData>
            </a:graphic>
          </wp:inline>
        </w:drawing>
      </w:r>
      <w:r>
        <w:rPr>
          <w:rFonts w:ascii="Times New Roman" w:hAnsi="Times New Roman"/>
          <w:color w:val="000000" w:themeColor="text1"/>
        </w:rPr>
        <w:drawing>
          <wp:inline distT="0" distB="0" distL="114300" distR="114300">
            <wp:extent cx="2903220" cy="1000125"/>
            <wp:effectExtent l="0" t="0" r="11430" b="9525"/>
            <wp:docPr id="1" name="图片 1" descr="2014102010040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1020100401278"/>
                    <pic:cNvPicPr>
                      <a:picLocks noChangeAspect="1"/>
                    </pic:cNvPicPr>
                  </pic:nvPicPr>
                  <pic:blipFill>
                    <a:blip r:embed="rId8" cstate="print"/>
                    <a:stretch>
                      <a:fillRect/>
                    </a:stretch>
                  </pic:blipFill>
                  <pic:spPr>
                    <a:xfrm>
                      <a:off x="0" y="0"/>
                      <a:ext cx="2903220" cy="1000125"/>
                    </a:xfrm>
                    <a:prstGeom prst="rect">
                      <a:avLst/>
                    </a:prstGeom>
                    <a:noFill/>
                    <a:ln>
                      <a:noFill/>
                    </a:ln>
                  </pic:spPr>
                </pic:pic>
              </a:graphicData>
            </a:graphic>
          </wp:inline>
        </w:drawing>
      </w:r>
    </w:p>
    <w:p>
      <w:pPr>
        <w:ind w:left="420"/>
        <w:jc w:val="center"/>
        <w:rPr>
          <w:rFonts w:ascii="Times New Roman" w:hAnsi="Times New Roman" w:eastAsia="楷体_GB2312"/>
          <w:b/>
          <w:color w:val="000000" w:themeColor="text1"/>
          <w:sz w:val="72"/>
          <w:szCs w:val="72"/>
        </w:rPr>
      </w:pPr>
    </w:p>
    <w:p>
      <w:pPr>
        <w:ind w:left="420"/>
        <w:jc w:val="center"/>
        <w:rPr>
          <w:rFonts w:ascii="Times New Roman" w:hAnsi="Times New Roman" w:eastAsia="楷体_GB2312"/>
          <w:b/>
          <w:color w:val="000000" w:themeColor="text1"/>
          <w:sz w:val="72"/>
          <w:szCs w:val="72"/>
        </w:rPr>
      </w:pPr>
    </w:p>
    <w:p>
      <w:pPr>
        <w:ind w:left="420"/>
        <w:jc w:val="center"/>
        <w:rPr>
          <w:rFonts w:ascii="Times New Roman" w:hAnsi="Times New Roman" w:eastAsia="楷体_GB2312"/>
          <w:b/>
          <w:color w:val="000000" w:themeColor="text1"/>
          <w:sz w:val="72"/>
          <w:szCs w:val="72"/>
        </w:rPr>
      </w:pPr>
      <w:r>
        <w:rPr>
          <w:rFonts w:hint="eastAsia" w:ascii="Times New Roman" w:hAnsi="Times New Roman" w:eastAsia="楷体_GB2312"/>
          <w:b/>
          <w:color w:val="000000" w:themeColor="text1"/>
          <w:sz w:val="72"/>
          <w:szCs w:val="72"/>
        </w:rPr>
        <w:t>2020级</w:t>
      </w:r>
    </w:p>
    <w:p>
      <w:pPr>
        <w:ind w:left="420"/>
        <w:jc w:val="center"/>
        <w:rPr>
          <w:rFonts w:ascii="Times New Roman" w:hAnsi="Times New Roman" w:eastAsia="楷体_GB2312"/>
          <w:b/>
          <w:color w:val="000000" w:themeColor="text1"/>
          <w:sz w:val="72"/>
          <w:szCs w:val="72"/>
        </w:rPr>
      </w:pPr>
      <w:r>
        <w:rPr>
          <w:rFonts w:hint="eastAsia" w:ascii="Times New Roman" w:hAnsi="Times New Roman" w:eastAsia="楷体_GB2312"/>
          <w:b/>
          <w:color w:val="000000" w:themeColor="text1"/>
          <w:sz w:val="72"/>
          <w:szCs w:val="72"/>
        </w:rPr>
        <w:t>硕士研究生培养方案</w:t>
      </w:r>
    </w:p>
    <w:p>
      <w:pPr>
        <w:ind w:left="420"/>
        <w:jc w:val="center"/>
        <w:rPr>
          <w:rFonts w:ascii="Times New Roman" w:hAnsi="Times New Roman" w:eastAsia="楷体_GB2312"/>
          <w:b/>
          <w:color w:val="000000" w:themeColor="text1"/>
          <w:sz w:val="72"/>
          <w:szCs w:val="72"/>
        </w:rPr>
      </w:pPr>
    </w:p>
    <w:p>
      <w:pPr>
        <w:jc w:val="center"/>
        <w:rPr>
          <w:rFonts w:ascii="Times New Roman" w:hAnsi="Times New Roman" w:eastAsia="黑体"/>
          <w:b/>
          <w:bCs/>
          <w:color w:val="000000" w:themeColor="text1"/>
          <w:sz w:val="44"/>
          <w:szCs w:val="44"/>
        </w:rPr>
      </w:pPr>
      <w:bookmarkStart w:id="0" w:name="_Toc429755054"/>
      <w:r>
        <w:rPr>
          <w:rFonts w:hint="eastAsia" w:ascii="Times New Roman" w:hAnsi="Times New Roman" w:eastAsia="楷体_GB2312"/>
          <w:b/>
          <w:color w:val="000000" w:themeColor="text1"/>
          <w:sz w:val="48"/>
          <w:szCs w:val="48"/>
        </w:rPr>
        <w:t>（</w:t>
      </w:r>
      <w:r>
        <w:rPr>
          <w:rFonts w:hint="eastAsia" w:ascii="Times New Roman" w:hAnsi="Times New Roman" w:eastAsia="楷体_GB2312"/>
          <w:b/>
          <w:color w:val="000000" w:themeColor="text1"/>
          <w:sz w:val="48"/>
          <w:szCs w:val="48"/>
          <w:lang w:eastAsia="zh-CN"/>
        </w:rPr>
        <w:t>物理科学与技术</w:t>
      </w:r>
      <w:r>
        <w:rPr>
          <w:rFonts w:hint="eastAsia" w:ascii="Times New Roman" w:hAnsi="Times New Roman" w:eastAsia="楷体_GB2312"/>
          <w:b/>
          <w:color w:val="000000" w:themeColor="text1"/>
          <w:sz w:val="48"/>
          <w:szCs w:val="48"/>
        </w:rPr>
        <w:t>学院）</w:t>
      </w:r>
      <w:bookmarkEnd w:id="0"/>
    </w:p>
    <w:p>
      <w:pPr>
        <w:ind w:left="420"/>
        <w:jc w:val="center"/>
        <w:rPr>
          <w:rFonts w:ascii="Times New Roman" w:hAnsi="Times New Roman" w:eastAsia="楷体_GB2312"/>
          <w:b/>
          <w:color w:val="000000" w:themeColor="text1"/>
          <w:sz w:val="72"/>
          <w:szCs w:val="72"/>
        </w:rPr>
      </w:pPr>
    </w:p>
    <w:p>
      <w:pPr>
        <w:ind w:left="420"/>
        <w:jc w:val="center"/>
        <w:rPr>
          <w:rFonts w:ascii="Times New Roman" w:hAnsi="Times New Roman" w:eastAsia="楷体_GB2312"/>
          <w:b/>
          <w:color w:val="000000" w:themeColor="text1"/>
          <w:sz w:val="72"/>
          <w:szCs w:val="72"/>
        </w:rPr>
      </w:pPr>
    </w:p>
    <w:p>
      <w:pPr>
        <w:ind w:left="420"/>
        <w:jc w:val="center"/>
        <w:rPr>
          <w:rFonts w:ascii="Times New Roman" w:hAnsi="Times New Roman" w:eastAsia="楷体_GB2312"/>
          <w:b/>
          <w:color w:val="000000" w:themeColor="text1"/>
          <w:sz w:val="72"/>
          <w:szCs w:val="72"/>
        </w:rPr>
      </w:pPr>
    </w:p>
    <w:p>
      <w:pPr>
        <w:ind w:left="420"/>
        <w:jc w:val="center"/>
        <w:rPr>
          <w:rFonts w:ascii="Times New Roman" w:hAnsi="Times New Roman" w:eastAsia="楷体_GB2312"/>
          <w:b/>
          <w:color w:val="000000" w:themeColor="text1"/>
          <w:sz w:val="72"/>
          <w:szCs w:val="72"/>
        </w:rPr>
      </w:pPr>
    </w:p>
    <w:p>
      <w:pPr>
        <w:pStyle w:val="3"/>
        <w:rPr>
          <w:color w:val="000000" w:themeColor="text1"/>
        </w:rPr>
      </w:pPr>
    </w:p>
    <w:p>
      <w:pPr>
        <w:rPr>
          <w:rFonts w:ascii="Times New Roman" w:hAnsi="Times New Roman" w:eastAsia="楷体_GB2312"/>
          <w:b/>
          <w:color w:val="000000" w:themeColor="text1"/>
          <w:sz w:val="72"/>
          <w:szCs w:val="72"/>
        </w:rPr>
      </w:pPr>
    </w:p>
    <w:p>
      <w:pPr>
        <w:ind w:left="420"/>
        <w:jc w:val="center"/>
        <w:rPr>
          <w:rFonts w:ascii="Times New Roman" w:hAnsi="Times New Roman" w:eastAsia="楷体_GB2312"/>
          <w:b/>
          <w:color w:val="000000" w:themeColor="text1"/>
          <w:sz w:val="28"/>
          <w:szCs w:val="28"/>
        </w:rPr>
      </w:pPr>
      <w:r>
        <w:rPr>
          <w:rFonts w:hint="eastAsia" w:ascii="Times New Roman" w:hAnsi="Times New Roman" w:eastAsia="楷体_GB2312"/>
          <w:b/>
          <w:color w:val="000000" w:themeColor="text1"/>
          <w:sz w:val="28"/>
          <w:szCs w:val="28"/>
        </w:rPr>
        <w:t>研究生部</w:t>
      </w:r>
    </w:p>
    <w:p>
      <w:pPr>
        <w:ind w:left="420"/>
        <w:jc w:val="center"/>
        <w:rPr>
          <w:rFonts w:ascii="Times New Roman" w:hAnsi="Times New Roman" w:eastAsia="楷体_GB2312"/>
          <w:b/>
          <w:color w:val="000000" w:themeColor="text1"/>
          <w:sz w:val="28"/>
          <w:szCs w:val="28"/>
        </w:rPr>
      </w:pPr>
      <w:r>
        <w:rPr>
          <w:rFonts w:hint="eastAsia" w:ascii="Times New Roman" w:hAnsi="Times New Roman" w:eastAsia="楷体_GB2312"/>
          <w:b/>
          <w:color w:val="000000" w:themeColor="text1"/>
          <w:sz w:val="28"/>
          <w:szCs w:val="28"/>
        </w:rPr>
        <w:t>二</w:t>
      </w:r>
      <w:r>
        <w:rPr>
          <w:rFonts w:hint="eastAsia" w:ascii="宋体" w:hAnsi="宋体"/>
          <w:b/>
          <w:color w:val="000000" w:themeColor="text1"/>
          <w:sz w:val="28"/>
          <w:szCs w:val="28"/>
        </w:rPr>
        <w:t>○</w:t>
      </w:r>
      <w:r>
        <w:rPr>
          <w:rFonts w:hint="eastAsia" w:ascii="Times New Roman" w:hAnsi="Times New Roman" w:eastAsia="楷体_GB2312"/>
          <w:b/>
          <w:color w:val="000000" w:themeColor="text1"/>
          <w:sz w:val="28"/>
          <w:szCs w:val="28"/>
        </w:rPr>
        <w:t>二</w:t>
      </w:r>
      <w:r>
        <w:rPr>
          <w:rFonts w:hint="eastAsia" w:ascii="宋体" w:hAnsi="宋体"/>
          <w:b/>
          <w:color w:val="000000" w:themeColor="text1"/>
          <w:sz w:val="28"/>
          <w:szCs w:val="28"/>
        </w:rPr>
        <w:t>○</w:t>
      </w:r>
      <w:r>
        <w:rPr>
          <w:rFonts w:hint="eastAsia" w:ascii="Times New Roman" w:hAnsi="Times New Roman" w:eastAsia="楷体_GB2312"/>
          <w:b/>
          <w:color w:val="000000" w:themeColor="text1"/>
          <w:sz w:val="28"/>
          <w:szCs w:val="28"/>
        </w:rPr>
        <w:t>年九月</w:t>
      </w:r>
    </w:p>
    <w:p>
      <w:pPr>
        <w:ind w:left="420"/>
        <w:jc w:val="center"/>
        <w:rPr>
          <w:rFonts w:ascii="Times New Roman" w:hAnsi="Times New Roman" w:eastAsia="楷体_GB2312"/>
          <w:b/>
          <w:color w:val="000000" w:themeColor="text1"/>
          <w:sz w:val="28"/>
          <w:szCs w:val="28"/>
        </w:rPr>
        <w:sectPr>
          <w:footerReference r:id="rId3" w:type="default"/>
          <w:pgSz w:w="11907" w:h="16840"/>
          <w:pgMar w:top="1440" w:right="1797" w:bottom="1440" w:left="1797" w:header="851" w:footer="992" w:gutter="0"/>
          <w:cols w:space="425" w:num="1"/>
          <w:docGrid w:linePitch="312" w:charSpace="0"/>
        </w:sectPr>
      </w:pPr>
    </w:p>
    <w:p>
      <w:pPr>
        <w:rPr>
          <w:rFonts w:ascii="Times New Roman" w:hAnsi="Times New Roman" w:eastAsia="仿宋"/>
          <w:b/>
          <w:color w:val="000000" w:themeColor="text1"/>
          <w:sz w:val="24"/>
        </w:rPr>
      </w:pPr>
      <w:r>
        <w:fldChar w:fldCharType="begin"/>
      </w:r>
      <w:r>
        <w:instrText xml:space="preserve"> HYPERLINK \l "_Toc492912047" </w:instrText>
      </w:r>
      <w:r>
        <w:fldChar w:fldCharType="separate"/>
      </w:r>
      <w:r>
        <w:rPr>
          <w:rFonts w:ascii="Times New Roman" w:eastAsia="仿宋"/>
          <w:b/>
          <w:color w:val="000000" w:themeColor="text1"/>
          <w:sz w:val="28"/>
          <w:szCs w:val="28"/>
        </w:rPr>
        <w:tab/>
      </w:r>
      <w:r>
        <w:rPr>
          <w:rFonts w:ascii="Times New Roman" w:eastAsia="仿宋"/>
          <w:b/>
          <w:color w:val="000000" w:themeColor="text1"/>
          <w:sz w:val="28"/>
          <w:szCs w:val="28"/>
        </w:rPr>
        <w:fldChar w:fldCharType="end"/>
      </w:r>
    </w:p>
    <w:p>
      <w:pPr>
        <w:rPr>
          <w:rFonts w:ascii="Times New Roman" w:hAnsi="Times New Roman" w:eastAsia="仿宋"/>
          <w:b/>
          <w:color w:val="000000" w:themeColor="text1"/>
          <w:sz w:val="24"/>
        </w:rPr>
      </w:pPr>
    </w:p>
    <w:sdt>
      <w:sdtPr>
        <w:rPr>
          <w:rFonts w:ascii="宋体" w:hAnsi="宋体" w:eastAsia="宋体" w:cs="Times New Roman"/>
          <w:color w:val="0000FF"/>
          <w:kern w:val="0"/>
          <w:sz w:val="20"/>
          <w:szCs w:val="20"/>
        </w:rPr>
        <w:id w:val="147474650"/>
        <w:docPartObj>
          <w:docPartGallery w:val="Table of Contents"/>
          <w:docPartUnique/>
        </w:docPartObj>
      </w:sdtPr>
      <w:sdtEndPr>
        <w:rPr>
          <w:rFonts w:hint="default" w:ascii="仿宋" w:hAnsi="仿宋" w:eastAsia="仿宋" w:cs="仿宋"/>
          <w:color w:val="0000FF"/>
          <w:kern w:val="0"/>
          <w:sz w:val="28"/>
          <w:szCs w:val="28"/>
          <w:lang w:val="en-US"/>
        </w:rPr>
      </w:sdtEndPr>
      <w:sdtContent>
        <w:p>
          <w:pPr>
            <w:jc w:val="center"/>
            <w:rPr>
              <w:rFonts w:ascii="黑体" w:hAnsi="黑体" w:eastAsia="黑体" w:cs="黑体"/>
              <w:sz w:val="32"/>
              <w:szCs w:val="32"/>
            </w:rPr>
          </w:pPr>
          <w:bookmarkStart w:id="1" w:name="_Toc31094_WPSOffice_Type1"/>
          <w:r>
            <w:rPr>
              <w:rFonts w:hint="eastAsia" w:ascii="黑体" w:hAnsi="黑体" w:eastAsia="黑体" w:cs="黑体"/>
              <w:sz w:val="32"/>
              <w:szCs w:val="32"/>
            </w:rPr>
            <w:t>目录</w:t>
          </w:r>
        </w:p>
        <w:p>
          <w:pPr>
            <w:pStyle w:val="27"/>
            <w:tabs>
              <w:tab w:val="right" w:leader="dot" w:pos="8306"/>
            </w:tabs>
            <w:rPr>
              <w:rFonts w:ascii="仿宋" w:hAnsi="仿宋" w:eastAsia="仿宋" w:cs="仿宋"/>
              <w:b/>
              <w:bCs/>
              <w:sz w:val="28"/>
              <w:szCs w:val="28"/>
            </w:rPr>
          </w:pPr>
          <w:r>
            <w:fldChar w:fldCharType="begin"/>
          </w:r>
          <w:r>
            <w:instrText xml:space="preserve"> HYPERLINK \l "_Toc7408_WPSOffice_Level1" </w:instrText>
          </w:r>
          <w:r>
            <w:fldChar w:fldCharType="separate"/>
          </w:r>
          <w:r>
            <w:rPr>
              <w:rFonts w:hint="eastAsia" w:ascii="仿宋" w:hAnsi="仿宋" w:eastAsia="仿宋" w:cs="仿宋"/>
              <w:b/>
              <w:bCs/>
              <w:sz w:val="28"/>
              <w:szCs w:val="28"/>
            </w:rPr>
            <w:t>光学工程学术学位硕士研究生培养方案</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2</w:t>
          </w:r>
          <w:r>
            <w:rPr>
              <w:rFonts w:hint="eastAsia" w:ascii="仿宋" w:hAnsi="仿宋" w:eastAsia="仿宋" w:cs="仿宋"/>
              <w:b/>
              <w:bCs/>
              <w:sz w:val="28"/>
              <w:szCs w:val="28"/>
            </w:rPr>
            <w:fldChar w:fldCharType="end"/>
          </w:r>
        </w:p>
        <w:p>
          <w:pPr>
            <w:pStyle w:val="27"/>
            <w:tabs>
              <w:tab w:val="right" w:leader="dot" w:pos="8306"/>
            </w:tabs>
            <w:rPr>
              <w:rFonts w:ascii="仿宋" w:hAnsi="仿宋" w:eastAsia="仿宋" w:cs="仿宋"/>
              <w:b/>
              <w:bCs/>
              <w:sz w:val="28"/>
              <w:szCs w:val="28"/>
            </w:rPr>
          </w:pPr>
          <w:r>
            <w:fldChar w:fldCharType="begin"/>
          </w:r>
          <w:r>
            <w:instrText xml:space="preserve"> HYPERLINK \l "_Toc18812_WPSOffice_Level1" </w:instrText>
          </w:r>
          <w:r>
            <w:fldChar w:fldCharType="separate"/>
          </w:r>
          <w:r>
            <w:rPr>
              <w:rFonts w:hint="eastAsia" w:ascii="仿宋" w:hAnsi="仿宋" w:eastAsia="仿宋" w:cs="仿宋"/>
              <w:b/>
              <w:bCs/>
              <w:sz w:val="28"/>
              <w:szCs w:val="28"/>
            </w:rPr>
            <w:t>物理学学术学位硕士研究生培养方案</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8</w:t>
          </w:r>
          <w:r>
            <w:rPr>
              <w:rFonts w:hint="eastAsia" w:ascii="仿宋" w:hAnsi="仿宋" w:eastAsia="仿宋" w:cs="仿宋"/>
              <w:b/>
              <w:bCs/>
              <w:sz w:val="28"/>
              <w:szCs w:val="28"/>
            </w:rPr>
            <w:fldChar w:fldCharType="end"/>
          </w:r>
        </w:p>
        <w:p>
          <w:pPr>
            <w:pStyle w:val="27"/>
            <w:tabs>
              <w:tab w:val="right" w:leader="dot" w:pos="8306"/>
            </w:tabs>
            <w:rPr>
              <w:rFonts w:ascii="仿宋" w:hAnsi="仿宋" w:eastAsia="仿宋" w:cs="仿宋"/>
              <w:sz w:val="28"/>
              <w:szCs w:val="28"/>
            </w:rPr>
          </w:pPr>
          <w:r>
            <w:fldChar w:fldCharType="begin"/>
          </w:r>
          <w:r>
            <w:instrText xml:space="preserve"> HYPERLINK \l "_Toc20811_WPSOffice_Level1" </w:instrText>
          </w:r>
          <w:r>
            <w:fldChar w:fldCharType="separate"/>
          </w:r>
          <w:r>
            <w:rPr>
              <w:rFonts w:hint="eastAsia" w:ascii="仿宋" w:hAnsi="仿宋" w:eastAsia="仿宋" w:cs="仿宋"/>
              <w:b/>
              <w:bCs/>
              <w:sz w:val="28"/>
              <w:szCs w:val="28"/>
            </w:rPr>
            <w:t>校研究生公共选修课目录</w:t>
          </w:r>
          <w:r>
            <w:rPr>
              <w:rFonts w:hint="eastAsia" w:ascii="仿宋" w:hAnsi="仿宋" w:eastAsia="仿宋" w:cs="仿宋"/>
              <w:b/>
              <w:bCs/>
              <w:sz w:val="28"/>
              <w:szCs w:val="28"/>
            </w:rPr>
            <w:tab/>
          </w:r>
          <w:r>
            <w:rPr>
              <w:rFonts w:hint="eastAsia" w:ascii="仿宋" w:hAnsi="仿宋" w:eastAsia="仿宋" w:cs="仿宋"/>
              <w:b/>
              <w:bCs/>
              <w:sz w:val="28"/>
              <w:szCs w:val="28"/>
            </w:rPr>
            <w:fldChar w:fldCharType="end"/>
          </w:r>
          <w:bookmarkEnd w:id="1"/>
          <w:r>
            <w:rPr>
              <w:rFonts w:hint="eastAsia" w:ascii="仿宋" w:hAnsi="仿宋" w:eastAsia="仿宋" w:cs="仿宋"/>
              <w:b/>
              <w:bCs/>
              <w:sz w:val="28"/>
              <w:szCs w:val="28"/>
              <w:lang w:val="en-US" w:eastAsia="zh-CN"/>
            </w:rPr>
            <w:t>14</w:t>
          </w:r>
        </w:p>
      </w:sdtContent>
    </w:sdt>
    <w:p>
      <w:pPr>
        <w:rPr>
          <w:rFonts w:ascii="仿宋" w:hAnsi="仿宋" w:eastAsia="仿宋" w:cs="仿宋"/>
          <w:b/>
          <w:color w:val="000000" w:themeColor="text1"/>
          <w:sz w:val="28"/>
          <w:szCs w:val="28"/>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rPr>
          <w:rFonts w:ascii="Times New Roman" w:hAnsi="Times New Roman" w:eastAsia="仿宋"/>
          <w:b/>
          <w:color w:val="000000" w:themeColor="text1"/>
          <w:sz w:val="24"/>
        </w:rPr>
      </w:pPr>
    </w:p>
    <w:p>
      <w:pPr>
        <w:widowControl/>
        <w:jc w:val="left"/>
        <w:rPr>
          <w:rFonts w:ascii="Times New Roman" w:hAnsi="Times New Roman" w:eastAsia="仿宋"/>
          <w:b/>
          <w:color w:val="000000" w:themeColor="text1"/>
          <w:sz w:val="24"/>
        </w:rPr>
      </w:pPr>
      <w:r>
        <w:rPr>
          <w:rFonts w:ascii="Times New Roman" w:hAnsi="Times New Roman" w:eastAsia="仿宋"/>
          <w:b/>
          <w:color w:val="000000" w:themeColor="text1"/>
          <w:sz w:val="24"/>
        </w:rPr>
        <w:br w:type="page"/>
      </w:r>
    </w:p>
    <w:p>
      <w:pPr>
        <w:pStyle w:val="2"/>
        <w:spacing w:line="400" w:lineRule="exact"/>
        <w:jc w:val="center"/>
        <w:rPr>
          <w:rFonts w:eastAsia="仿宋" w:cs="黑体"/>
          <w:sz w:val="28"/>
          <w:szCs w:val="28"/>
        </w:rPr>
      </w:pPr>
      <w:bookmarkStart w:id="2" w:name="_Toc7408_WPSOffice_Level1"/>
      <w:bookmarkStart w:id="3" w:name="_Toc13495269"/>
      <w:bookmarkStart w:id="4" w:name="_Toc12447_WPSOffice_Level1"/>
      <w:bookmarkStart w:id="5" w:name="_Toc366242598"/>
      <w:bookmarkStart w:id="6" w:name="_Toc13495271"/>
      <w:bookmarkStart w:id="7" w:name="_Toc22996_WPSOffice_Level1"/>
      <w:bookmarkStart w:id="8" w:name="_Toc18812_WPSOffice_Level1"/>
      <w:bookmarkStart w:id="9" w:name="_Toc492912048"/>
      <w:bookmarkStart w:id="10" w:name="_Toc461096365"/>
      <w:bookmarkStart w:id="11" w:name="_Toc429755065"/>
      <w:bookmarkStart w:id="12" w:name="_Toc524005950"/>
      <w:r>
        <w:rPr>
          <w:rFonts w:hint="eastAsia" w:eastAsia="仿宋" w:cs="黑体"/>
          <w:sz w:val="28"/>
          <w:szCs w:val="28"/>
          <w:u w:val="single"/>
        </w:rPr>
        <w:t>光学工程</w:t>
      </w:r>
      <w:r>
        <w:rPr>
          <w:rFonts w:hint="eastAsia" w:eastAsia="仿宋" w:cs="黑体"/>
          <w:sz w:val="28"/>
          <w:szCs w:val="28"/>
        </w:rPr>
        <w:t>学术学位硕士研究生培养方案</w:t>
      </w:r>
      <w:bookmarkEnd w:id="2"/>
      <w:bookmarkEnd w:id="3"/>
      <w:bookmarkEnd w:id="4"/>
    </w:p>
    <w:p>
      <w:pPr>
        <w:spacing w:line="400" w:lineRule="exact"/>
        <w:rPr>
          <w:rFonts w:ascii="Times New Roman" w:hAnsi="Times New Roman" w:eastAsia="仿宋" w:cs="仿宋"/>
          <w:bCs/>
          <w:sz w:val="28"/>
          <w:szCs w:val="28"/>
          <w:u w:val="single"/>
        </w:rPr>
      </w:pPr>
      <w:r>
        <w:rPr>
          <w:rFonts w:hint="eastAsia" w:ascii="Times New Roman" w:hAnsi="Times New Roman" w:eastAsia="仿宋" w:cs="仿宋"/>
          <w:bCs/>
          <w:sz w:val="28"/>
          <w:szCs w:val="28"/>
        </w:rPr>
        <w:t>一级学科名称（代码）：</w:t>
      </w:r>
      <w:r>
        <w:rPr>
          <w:rFonts w:hint="eastAsia" w:ascii="Times New Roman" w:hAnsi="Times New Roman" w:eastAsia="仿宋" w:cs="仿宋"/>
          <w:bCs/>
          <w:sz w:val="28"/>
          <w:szCs w:val="28"/>
          <w:u w:val="single"/>
        </w:rPr>
        <w:t>光学工程（0803）</w:t>
      </w:r>
      <w:r>
        <w:rPr>
          <w:rFonts w:hint="eastAsia" w:ascii="Times New Roman" w:hAnsi="Times New Roman" w:eastAsia="仿宋" w:cs="仿宋"/>
          <w:bCs/>
          <w:sz w:val="28"/>
          <w:szCs w:val="28"/>
        </w:rPr>
        <w:t xml:space="preserve"> </w:t>
      </w:r>
    </w:p>
    <w:p>
      <w:pPr>
        <w:spacing w:line="400" w:lineRule="exact"/>
        <w:rPr>
          <w:rFonts w:ascii="Times New Roman" w:hAnsi="Times New Roman" w:eastAsia="仿宋" w:cs="仿宋"/>
          <w:bCs/>
          <w:sz w:val="28"/>
          <w:szCs w:val="28"/>
        </w:rPr>
      </w:pPr>
      <w:r>
        <w:rPr>
          <w:rFonts w:hint="eastAsia" w:ascii="Times New Roman" w:hAnsi="Times New Roman" w:eastAsia="仿宋" w:cs="仿宋"/>
          <w:bCs/>
          <w:sz w:val="28"/>
          <w:szCs w:val="28"/>
        </w:rPr>
        <w:t>二级学科名称（代码）：</w:t>
      </w:r>
      <w:r>
        <w:rPr>
          <w:rFonts w:hint="eastAsia" w:ascii="Times New Roman" w:hAnsi="Times New Roman" w:eastAsia="仿宋" w:cs="仿宋"/>
          <w:bCs/>
          <w:sz w:val="28"/>
          <w:szCs w:val="28"/>
          <w:u w:val="single"/>
        </w:rPr>
        <w:t xml:space="preserve">                  </w:t>
      </w:r>
    </w:p>
    <w:p>
      <w:pPr>
        <w:spacing w:beforeLines="50" w:afterLines="50" w:line="400" w:lineRule="exact"/>
        <w:rPr>
          <w:rFonts w:ascii="Times New Roman" w:hAnsi="Times New Roman" w:eastAsia="仿宋" w:cs="仿宋"/>
          <w:kern w:val="0"/>
          <w:szCs w:val="21"/>
        </w:rPr>
      </w:pPr>
      <w:r>
        <w:rPr>
          <w:rFonts w:hint="eastAsia" w:ascii="Times New Roman" w:hAnsi="Times New Roman" w:eastAsia="仿宋" w:cs="仿宋"/>
          <w:b/>
          <w:bCs/>
          <w:kern w:val="0"/>
          <w:sz w:val="28"/>
          <w:szCs w:val="28"/>
        </w:rPr>
        <w:t>一、学科简介</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sz w:val="24"/>
        </w:rPr>
        <w:t>光学工程一级学科</w:t>
      </w:r>
      <w:r>
        <w:rPr>
          <w:rFonts w:hint="eastAsia" w:ascii="Times New Roman" w:hAnsi="Times New Roman" w:eastAsia="仿宋" w:cs="仿宋"/>
          <w:kern w:val="0"/>
          <w:sz w:val="24"/>
        </w:rPr>
        <w:t>涵盖了几何光学、波动光学、量子光学及非线性光学，揭示了光的产生和传播的规律与物质相互作用的关系。</w:t>
      </w:r>
      <w:r>
        <w:rPr>
          <w:rFonts w:hint="eastAsia" w:ascii="Times New Roman" w:hAnsi="Times New Roman" w:eastAsia="仿宋" w:cs="仿宋"/>
          <w:sz w:val="24"/>
        </w:rPr>
        <w:t>它</w:t>
      </w:r>
      <w:r>
        <w:rPr>
          <w:rFonts w:hint="eastAsia" w:ascii="Times New Roman" w:hAnsi="Times New Roman" w:eastAsia="仿宋" w:cs="仿宋"/>
          <w:kern w:val="0"/>
          <w:sz w:val="24"/>
        </w:rPr>
        <w:t>与信息科学、能源科学、材料科学、生命科学、空间科学、精密机械与制造、计算机科学及微电子技术等技术等学科紧密交叉和相互渗透。它包含了许多重要的新兴学科分支，如激光技术、光通信、光存储与记录光学信息处理、光电显示、全息和三维成像、薄膜和集成光学、光电子和光子技术、激光材料处理和加工、弱光与红外热成像技术、光电测量、光纤光学、现代光学和光电子仪器及器件、光学遥感技术以及综合光学工程技术等。</w:t>
      </w:r>
    </w:p>
    <w:p>
      <w:pPr>
        <w:spacing w:line="400" w:lineRule="exact"/>
        <w:ind w:firstLine="480" w:firstLineChars="200"/>
        <w:rPr>
          <w:rFonts w:ascii="Times New Roman" w:hAnsi="Times New Roman" w:eastAsia="仿宋" w:cs="仿宋"/>
          <w:sz w:val="24"/>
        </w:rPr>
      </w:pPr>
      <w:r>
        <w:rPr>
          <w:rFonts w:hint="eastAsia" w:ascii="Times New Roman" w:hAnsi="Times New Roman" w:eastAsia="仿宋" w:cs="仿宋"/>
          <w:sz w:val="24"/>
        </w:rPr>
        <w:t>苏州科技大学光学工程学科为江苏省“十三五”重点学科。本学科于2010年获一级学科硕士点授权，2012年开始招收硕士研究生。</w:t>
      </w:r>
      <w:r>
        <w:rPr>
          <w:rFonts w:hint="eastAsia" w:ascii="Times New Roman" w:hAnsi="Times New Roman" w:eastAsia="仿宋" w:cs="仿宋"/>
          <w:kern w:val="0"/>
          <w:sz w:val="24"/>
        </w:rPr>
        <w:t>本学科涉及光与材料相互作用机制及调控技术、光信息处理与光电测量技术、光学遥感技术、光通信与光电传感技术、新型光电材料与显示技术，研制新型光学仪器与光电器件，解决科学基础研究与生产实践中与光学工程相关的问题。本学科依托省级实验示范中心、江苏省重点实验室、江苏省优秀研究生工作站、苏州市光学测试技术重点实验室和科技创新平台，以立足苏南地区，面向华东，服务全国经济和社会发展为核心理念，将基础研究和技术应用紧密结合。本学科已经在</w:t>
      </w:r>
      <w:r>
        <w:rPr>
          <w:rFonts w:hint="eastAsia" w:ascii="Times New Roman" w:hAnsi="Times New Roman" w:eastAsia="仿宋" w:cs="仿宋"/>
          <w:sz w:val="24"/>
        </w:rPr>
        <w:t>先进光学设计制造与视光学、光电仪器与智能检测技术、光通信与信息处理技术、光电子材料与器件</w:t>
      </w:r>
      <w:r>
        <w:rPr>
          <w:rFonts w:hint="eastAsia" w:ascii="Times New Roman" w:hAnsi="Times New Roman" w:eastAsia="仿宋" w:cs="仿宋"/>
          <w:kern w:val="0"/>
          <w:sz w:val="24"/>
        </w:rPr>
        <w:t>四个研究方向形成了鲜明特色，在人才培养、科学研究和社会服务等方面成果颇丰，经济效益显著，在苏南地区具有较高的社会反响度。</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sz w:val="24"/>
        </w:rPr>
        <w:t>学科师资力量充足，学术梯队合理，特别是具有一批潜力大的中青年教师作为学术团队的中坚力量。现有专业技术人员</w:t>
      </w:r>
      <w:r>
        <w:rPr>
          <w:rFonts w:ascii="Times New Roman" w:hAnsi="Times New Roman" w:eastAsia="仿宋" w:cs="仿宋"/>
          <w:sz w:val="24"/>
        </w:rPr>
        <w:t>52</w:t>
      </w:r>
      <w:r>
        <w:rPr>
          <w:rFonts w:hint="eastAsia" w:ascii="Times New Roman" w:hAnsi="Times New Roman" w:eastAsia="仿宋" w:cs="仿宋"/>
          <w:sz w:val="24"/>
        </w:rPr>
        <w:t>人，其中教授12人、副教授19人，讲师10人，硕士生导师2</w:t>
      </w:r>
      <w:r>
        <w:rPr>
          <w:rFonts w:ascii="Times New Roman" w:hAnsi="Times New Roman" w:eastAsia="仿宋" w:cs="仿宋"/>
          <w:sz w:val="24"/>
        </w:rPr>
        <w:t>8</w:t>
      </w:r>
      <w:r>
        <w:rPr>
          <w:rFonts w:hint="eastAsia" w:ascii="Times New Roman" w:hAnsi="Times New Roman" w:eastAsia="仿宋" w:cs="仿宋"/>
          <w:sz w:val="24"/>
        </w:rPr>
        <w:t>人，具有博士学位教师占81%，具有海外留学或访学经历的教师占60%。拥有全国知名专家1人，江苏省科技厅“双创人才”1人，江苏省“六大人才高峰”资助对象4人，江苏省组织部“333人才工程”培养对象</w:t>
      </w:r>
      <w:r>
        <w:rPr>
          <w:rFonts w:ascii="Times New Roman" w:hAnsi="Times New Roman" w:eastAsia="仿宋" w:cs="仿宋"/>
          <w:sz w:val="24"/>
        </w:rPr>
        <w:t>6</w:t>
      </w:r>
      <w:r>
        <w:rPr>
          <w:rFonts w:hint="eastAsia" w:ascii="Times New Roman" w:hAnsi="Times New Roman" w:eastAsia="仿宋" w:cs="仿宋"/>
          <w:sz w:val="24"/>
        </w:rPr>
        <w:t>人，江苏省教育厅“青蓝工程”学术带头人和优秀青年骨干教师</w:t>
      </w:r>
      <w:r>
        <w:rPr>
          <w:rFonts w:ascii="Times New Roman" w:hAnsi="Times New Roman" w:eastAsia="仿宋" w:cs="仿宋"/>
          <w:sz w:val="24"/>
        </w:rPr>
        <w:t>10</w:t>
      </w:r>
      <w:r>
        <w:rPr>
          <w:rFonts w:hint="eastAsia" w:ascii="Times New Roman" w:hAnsi="Times New Roman" w:eastAsia="仿宋" w:cs="仿宋"/>
          <w:sz w:val="24"/>
        </w:rPr>
        <w:t>人，苏州科技大学校级科技创新团队1个，有2名海内外著名的本学科专家被聘为学科兼职教授和硕士生导师。学科着力开拓光学工程学科的新兴领域，注重基础研究和技术应用在产业化过程中的作用。近年来主持承担国家973项目子课题1项，</w:t>
      </w:r>
      <w:r>
        <w:rPr>
          <w:rFonts w:hint="eastAsia" w:ascii="Times New Roman" w:hAnsi="Times New Roman" w:eastAsia="仿宋" w:cs="仿宋"/>
          <w:kern w:val="0"/>
          <w:sz w:val="24"/>
        </w:rPr>
        <w:t>国家自然科学基金项目2</w:t>
      </w:r>
      <w:r>
        <w:rPr>
          <w:rFonts w:ascii="Times New Roman" w:hAnsi="Times New Roman" w:eastAsia="仿宋" w:cs="仿宋"/>
          <w:kern w:val="0"/>
          <w:sz w:val="24"/>
        </w:rPr>
        <w:t>5</w:t>
      </w:r>
      <w:r>
        <w:rPr>
          <w:rFonts w:hint="eastAsia" w:ascii="Times New Roman" w:hAnsi="Times New Roman" w:eastAsia="仿宋" w:cs="仿宋"/>
          <w:kern w:val="0"/>
          <w:sz w:val="24"/>
        </w:rPr>
        <w:t>项，省部级项目</w:t>
      </w:r>
      <w:r>
        <w:rPr>
          <w:rFonts w:ascii="Times New Roman" w:hAnsi="Times New Roman" w:eastAsia="仿宋" w:cs="仿宋"/>
          <w:kern w:val="0"/>
          <w:sz w:val="24"/>
        </w:rPr>
        <w:t>28</w:t>
      </w:r>
      <w:r>
        <w:rPr>
          <w:rFonts w:hint="eastAsia" w:ascii="Times New Roman" w:hAnsi="Times New Roman" w:eastAsia="仿宋" w:cs="仿宋"/>
          <w:kern w:val="0"/>
          <w:sz w:val="24"/>
        </w:rPr>
        <w:t>项、省高校自然科学基金项目</w:t>
      </w:r>
      <w:r>
        <w:rPr>
          <w:rFonts w:ascii="Times New Roman" w:hAnsi="Times New Roman" w:eastAsia="仿宋" w:cs="仿宋"/>
          <w:kern w:val="0"/>
          <w:sz w:val="24"/>
        </w:rPr>
        <w:t>6</w:t>
      </w:r>
      <w:r>
        <w:rPr>
          <w:rFonts w:hint="eastAsia" w:ascii="Times New Roman" w:hAnsi="Times New Roman" w:eastAsia="仿宋" w:cs="仿宋"/>
          <w:kern w:val="0"/>
          <w:sz w:val="24"/>
        </w:rPr>
        <w:t>项，其它科学基金2</w:t>
      </w:r>
      <w:r>
        <w:rPr>
          <w:rFonts w:ascii="Times New Roman" w:hAnsi="Times New Roman" w:eastAsia="仿宋" w:cs="仿宋"/>
          <w:kern w:val="0"/>
          <w:sz w:val="24"/>
        </w:rPr>
        <w:t>4</w:t>
      </w:r>
      <w:r>
        <w:rPr>
          <w:rFonts w:hint="eastAsia" w:ascii="Times New Roman" w:hAnsi="Times New Roman" w:eastAsia="仿宋" w:cs="仿宋"/>
          <w:kern w:val="0"/>
          <w:sz w:val="24"/>
        </w:rPr>
        <w:t>项，科研总经费</w:t>
      </w:r>
      <w:r>
        <w:rPr>
          <w:rFonts w:ascii="Times New Roman" w:hAnsi="Times New Roman" w:eastAsia="仿宋" w:cs="仿宋"/>
          <w:kern w:val="0"/>
          <w:sz w:val="24"/>
        </w:rPr>
        <w:t>40</w:t>
      </w:r>
      <w:r>
        <w:rPr>
          <w:rFonts w:hint="eastAsia" w:ascii="Times New Roman" w:hAnsi="Times New Roman" w:eastAsia="仿宋" w:cs="仿宋"/>
          <w:kern w:val="0"/>
          <w:sz w:val="24"/>
        </w:rPr>
        <w:t>00多万元，年平均科研经费400多万元；在国内外著名期刊上发表学术论文</w:t>
      </w:r>
      <w:r>
        <w:rPr>
          <w:rFonts w:ascii="Times New Roman" w:hAnsi="Times New Roman" w:eastAsia="仿宋" w:cs="仿宋"/>
          <w:kern w:val="0"/>
          <w:sz w:val="24"/>
        </w:rPr>
        <w:t>300</w:t>
      </w:r>
      <w:r>
        <w:rPr>
          <w:rFonts w:hint="eastAsia" w:ascii="Times New Roman" w:hAnsi="Times New Roman" w:eastAsia="仿宋" w:cs="仿宋"/>
          <w:kern w:val="0"/>
          <w:sz w:val="24"/>
        </w:rPr>
        <w:t>余篇，其中</w:t>
      </w:r>
      <w:r>
        <w:rPr>
          <w:rFonts w:ascii="Times New Roman" w:hAnsi="Times New Roman" w:eastAsia="仿宋" w:cs="仿宋"/>
          <w:kern w:val="0"/>
          <w:sz w:val="24"/>
        </w:rPr>
        <w:t>260</w:t>
      </w:r>
      <w:r>
        <w:rPr>
          <w:rFonts w:hint="eastAsia" w:ascii="Times New Roman" w:hAnsi="Times New Roman" w:eastAsia="仿宋" w:cs="仿宋"/>
          <w:kern w:val="0"/>
          <w:sz w:val="24"/>
        </w:rPr>
        <w:t>余篇被三大检索收录，出版学术专著和教材3部，申请专利1</w:t>
      </w:r>
      <w:r>
        <w:rPr>
          <w:rFonts w:ascii="Times New Roman" w:hAnsi="Times New Roman" w:eastAsia="仿宋" w:cs="仿宋"/>
          <w:kern w:val="0"/>
          <w:sz w:val="24"/>
        </w:rPr>
        <w:t>20</w:t>
      </w:r>
      <w:r>
        <w:rPr>
          <w:rFonts w:hint="eastAsia" w:ascii="Times New Roman" w:hAnsi="Times New Roman" w:eastAsia="仿宋" w:cs="仿宋"/>
          <w:kern w:val="0"/>
          <w:sz w:val="24"/>
        </w:rPr>
        <w:t>件，授权发明专利</w:t>
      </w:r>
      <w:r>
        <w:rPr>
          <w:rFonts w:ascii="Times New Roman" w:hAnsi="Times New Roman" w:eastAsia="仿宋" w:cs="仿宋"/>
          <w:kern w:val="0"/>
          <w:sz w:val="24"/>
        </w:rPr>
        <w:t>26</w:t>
      </w:r>
      <w:r>
        <w:rPr>
          <w:rFonts w:hint="eastAsia" w:ascii="Times New Roman" w:hAnsi="Times New Roman" w:eastAsia="仿宋" w:cs="仿宋"/>
          <w:kern w:val="0"/>
          <w:sz w:val="24"/>
        </w:rPr>
        <w:t>件，获省部级科技进步奖</w:t>
      </w:r>
      <w:r>
        <w:rPr>
          <w:rFonts w:ascii="Times New Roman" w:hAnsi="Times New Roman" w:eastAsia="仿宋" w:cs="仿宋"/>
          <w:kern w:val="0"/>
          <w:sz w:val="24"/>
        </w:rPr>
        <w:t>12</w:t>
      </w:r>
      <w:r>
        <w:rPr>
          <w:rFonts w:hint="eastAsia" w:ascii="Times New Roman" w:hAnsi="Times New Roman" w:eastAsia="仿宋" w:cs="仿宋"/>
          <w:kern w:val="0"/>
          <w:sz w:val="24"/>
        </w:rPr>
        <w:t>项，其中二等奖</w:t>
      </w:r>
      <w:r>
        <w:rPr>
          <w:rFonts w:ascii="Times New Roman" w:hAnsi="Times New Roman" w:eastAsia="仿宋" w:cs="仿宋"/>
          <w:kern w:val="0"/>
          <w:sz w:val="24"/>
        </w:rPr>
        <w:t>7</w:t>
      </w:r>
      <w:r>
        <w:rPr>
          <w:rFonts w:hint="eastAsia" w:ascii="Times New Roman" w:hAnsi="Times New Roman" w:eastAsia="仿宋" w:cs="仿宋"/>
          <w:kern w:val="0"/>
          <w:sz w:val="24"/>
        </w:rPr>
        <w:t>项 。</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sz w:val="24"/>
        </w:rPr>
        <w:t>学科建设有高水平的公共科研平台和学科特色研究平台，入选</w:t>
      </w:r>
      <w:r>
        <w:rPr>
          <w:rFonts w:hint="eastAsia" w:ascii="Times New Roman" w:hAnsi="Times New Roman" w:eastAsia="仿宋" w:cs="仿宋"/>
          <w:kern w:val="0"/>
          <w:sz w:val="24"/>
        </w:rPr>
        <w:t>江苏省信息技术专业卓越工程师计划。</w:t>
      </w:r>
      <w:r>
        <w:rPr>
          <w:rFonts w:hint="eastAsia" w:ascii="Times New Roman" w:hAnsi="Times New Roman" w:eastAsia="仿宋" w:cs="仿宋"/>
          <w:sz w:val="24"/>
        </w:rPr>
        <w:t>学科现已建设江苏省物理实验示范中心和电子信息实验中心，江苏省苏州太阳能和风能发电设备检测公共技术服务中心，江苏省</w:t>
      </w:r>
      <w:r>
        <w:rPr>
          <w:rFonts w:hint="eastAsia" w:ascii="Times New Roman" w:hAnsi="Times New Roman" w:eastAsia="仿宋" w:cs="仿宋"/>
          <w:kern w:val="0"/>
          <w:sz w:val="24"/>
        </w:rPr>
        <w:t>建筑智慧节能重点实验室，苏州市光学精密测试技术重点实验室等。另外，学科还与苏州一光仪器有限公司、苏州苏大明世光学股份有限公司和苏州慧利仪器有限责任公司，苏州新阳升电气有限公司、</w:t>
      </w:r>
      <w:r>
        <w:rPr>
          <w:rFonts w:hint="eastAsia" w:ascii="Times New Roman" w:hAnsi="Times New Roman" w:eastAsia="仿宋" w:cs="仿宋"/>
          <w:sz w:val="24"/>
        </w:rPr>
        <w:t>苏州市计量测试研究所、苏州德创测控科技有限公司、张家港市光学仪器有限公司</w:t>
      </w:r>
      <w:r>
        <w:rPr>
          <w:rFonts w:hint="eastAsia" w:ascii="Times New Roman" w:hAnsi="Times New Roman" w:eastAsia="仿宋" w:cs="仿宋"/>
          <w:kern w:val="0"/>
          <w:sz w:val="24"/>
        </w:rPr>
        <w:t>等省研究生工作站；与昆山双桥传感器测控技术有限公司建立了紧密的产学研合作关系，从事微纳传感器研发，共建苏州市动态力敏传感器工程技术研究中心和苏州市微机电薄膜技术重点实验室。学科现拥有实验设备资产</w:t>
      </w:r>
      <w:r>
        <w:rPr>
          <w:rFonts w:ascii="Times New Roman" w:hAnsi="Times New Roman" w:eastAsia="仿宋" w:cs="仿宋"/>
          <w:kern w:val="0"/>
          <w:sz w:val="24"/>
        </w:rPr>
        <w:t>35</w:t>
      </w:r>
      <w:r>
        <w:rPr>
          <w:rFonts w:hint="eastAsia" w:ascii="Times New Roman" w:hAnsi="Times New Roman" w:eastAsia="仿宋" w:cs="仿宋"/>
          <w:kern w:val="0"/>
          <w:sz w:val="24"/>
        </w:rPr>
        <w:t>00余万元，为本学科教学、科研和社会服务提供了充分条件。 </w:t>
      </w:r>
    </w:p>
    <w:p>
      <w:pPr>
        <w:spacing w:beforeLines="50" w:afterLines="50" w:line="400" w:lineRule="exact"/>
        <w:rPr>
          <w:rFonts w:ascii="Times New Roman" w:hAnsi="Times New Roman" w:eastAsia="仿宋" w:cs="仿宋"/>
          <w:bCs/>
          <w:kern w:val="0"/>
          <w:sz w:val="28"/>
          <w:szCs w:val="28"/>
        </w:rPr>
      </w:pPr>
      <w:r>
        <w:rPr>
          <w:rFonts w:hint="eastAsia" w:ascii="Times New Roman" w:hAnsi="Times New Roman" w:eastAsia="仿宋" w:cs="仿宋"/>
          <w:b/>
          <w:bCs/>
          <w:kern w:val="0"/>
          <w:sz w:val="28"/>
          <w:szCs w:val="28"/>
        </w:rPr>
        <w:t>二、培养目标</w:t>
      </w:r>
    </w:p>
    <w:p>
      <w:pPr>
        <w:spacing w:line="400" w:lineRule="exact"/>
        <w:ind w:firstLine="480" w:firstLineChars="200"/>
        <w:rPr>
          <w:rFonts w:ascii="Times New Roman" w:hAnsi="Times New Roman" w:eastAsia="仿宋" w:cs="仿宋"/>
          <w:bCs/>
          <w:kern w:val="0"/>
          <w:sz w:val="28"/>
          <w:szCs w:val="28"/>
        </w:rPr>
      </w:pPr>
      <w:r>
        <w:rPr>
          <w:rFonts w:hint="eastAsia" w:ascii="Times New Roman" w:hAnsi="Times New Roman" w:eastAsia="仿宋" w:cs="仿宋"/>
          <w:sz w:val="24"/>
        </w:rPr>
        <w:t>本学科学术型硕士点着重培养科研创新型、技术应用型、复合式高层次工程技术和工程管理人才。本学科硕士学位获得者应具有光学工程坚实的基础理论及系统的专门知识、先进技术方法和手段，熟念掌握相关的计算机编程语言，和至少一门外语；</w:t>
      </w:r>
      <w:r>
        <w:rPr>
          <w:rFonts w:hint="eastAsia" w:ascii="Times New Roman" w:hAnsi="Times New Roman" w:eastAsia="仿宋" w:cs="仿宋"/>
          <w:kern w:val="0"/>
          <w:sz w:val="24"/>
        </w:rPr>
        <w:t>能独立承担解决光学工程领域及其相关技术中的工程实际问题，</w:t>
      </w:r>
      <w:r>
        <w:rPr>
          <w:rFonts w:hint="eastAsia" w:ascii="Times New Roman" w:hAnsi="Times New Roman" w:eastAsia="仿宋" w:cs="仿宋"/>
          <w:sz w:val="24"/>
        </w:rPr>
        <w:t>具备从事光学设计、光学测试、光电材料、光电物理器件、光电信息处理等专门技术工作的能力；具有严谨求实的科学态度和工作作风；能胜任本学科及相关领域的科学研究、教学、工程技术开发及管理工作的高级专门人才。</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本学科为省内外光电产业、信息技术产业、新能源和新材料行业发展服务，为企业输送光学工程专业高级人才。学科与企业紧密合作，合作培养高级工程师和工程管理人才；努力将研究生培养与产业发展相结合，依托省级企业研究生工作站，积极探索校企共建的培养模式；建立合理和完善的制度，推动硕士研究生承担校内外的科研、设计、调研、咨询、技术开发和服务等能力。</w:t>
      </w:r>
    </w:p>
    <w:p>
      <w:pPr>
        <w:spacing w:beforeLines="50" w:afterLines="50" w:line="400" w:lineRule="exact"/>
        <w:rPr>
          <w:rFonts w:ascii="Times New Roman" w:hAnsi="Times New Roman" w:eastAsia="仿宋" w:cs="仿宋"/>
          <w:kern w:val="0"/>
          <w:sz w:val="24"/>
        </w:rPr>
      </w:pPr>
      <w:r>
        <w:rPr>
          <w:rFonts w:hint="eastAsia" w:ascii="Times New Roman" w:hAnsi="Times New Roman" w:eastAsia="仿宋" w:cs="仿宋"/>
          <w:b/>
          <w:bCs/>
          <w:kern w:val="0"/>
          <w:sz w:val="28"/>
          <w:szCs w:val="28"/>
        </w:rPr>
        <w:t>三、研究方向</w:t>
      </w:r>
    </w:p>
    <w:p>
      <w:pPr>
        <w:spacing w:line="400" w:lineRule="exact"/>
        <w:ind w:firstLine="482" w:firstLineChars="200"/>
        <w:rPr>
          <w:rFonts w:ascii="Times New Roman" w:hAnsi="Times New Roman" w:eastAsia="仿宋" w:cs="仿宋"/>
          <w:b/>
          <w:bCs/>
          <w:kern w:val="0"/>
          <w:sz w:val="24"/>
        </w:rPr>
      </w:pPr>
      <w:r>
        <w:rPr>
          <w:rFonts w:hint="eastAsia" w:ascii="Times New Roman" w:hAnsi="Times New Roman" w:eastAsia="仿宋" w:cs="仿宋"/>
          <w:b/>
          <w:bCs/>
          <w:kern w:val="0"/>
          <w:sz w:val="24"/>
        </w:rPr>
        <w:t>01先进光学设计制造与视光学</w:t>
      </w:r>
    </w:p>
    <w:p>
      <w:pPr>
        <w:pStyle w:val="18"/>
        <w:spacing w:before="0" w:beforeAutospacing="0" w:after="0" w:afterAutospacing="0" w:line="400" w:lineRule="exact"/>
        <w:ind w:firstLine="480"/>
        <w:rPr>
          <w:rFonts w:ascii="Times New Roman" w:hAnsi="Times New Roman" w:eastAsia="仿宋"/>
        </w:rPr>
      </w:pPr>
      <w:r>
        <w:rPr>
          <w:rFonts w:hint="eastAsia" w:ascii="Times New Roman" w:hAnsi="Times New Roman" w:eastAsia="仿宋"/>
        </w:rPr>
        <w:t>该方向主要从事光学系统设计、光学元件加工制造、空间光学和环境光学等领域的研究工作，特别针对非常规光学系统，如自由曲面的设计与制造。在视光学领域开展渐进多焦点眼用镜片的设计与制备，突破了渐进多焦点眼用镜片设计制造技术长期被国外垄断的局面，加强学科与眼视光学的交叉发展。</w:t>
      </w:r>
    </w:p>
    <w:p>
      <w:pPr>
        <w:spacing w:line="400" w:lineRule="exact"/>
        <w:ind w:firstLine="482" w:firstLineChars="200"/>
        <w:rPr>
          <w:rFonts w:ascii="Times New Roman" w:hAnsi="Times New Roman" w:eastAsia="仿宋" w:cs="仿宋"/>
          <w:b/>
          <w:bCs/>
          <w:kern w:val="0"/>
          <w:sz w:val="24"/>
        </w:rPr>
      </w:pPr>
      <w:r>
        <w:rPr>
          <w:rFonts w:hint="eastAsia" w:ascii="Times New Roman" w:hAnsi="Times New Roman" w:eastAsia="仿宋" w:cs="仿宋"/>
          <w:b/>
          <w:bCs/>
          <w:kern w:val="0"/>
          <w:sz w:val="24"/>
        </w:rPr>
        <w:t>02光电仪器与智能检测技术</w:t>
      </w:r>
    </w:p>
    <w:p>
      <w:pPr>
        <w:pStyle w:val="18"/>
        <w:spacing w:before="0" w:beforeAutospacing="0" w:after="0" w:afterAutospacing="0" w:line="400" w:lineRule="exact"/>
        <w:ind w:firstLine="420"/>
        <w:rPr>
          <w:rFonts w:ascii="Times New Roman" w:hAnsi="Times New Roman" w:eastAsia="仿宋"/>
        </w:rPr>
      </w:pPr>
      <w:r>
        <w:rPr>
          <w:rFonts w:hint="eastAsia" w:ascii="Times New Roman" w:hAnsi="Times New Roman" w:eastAsia="仿宋"/>
        </w:rPr>
        <w:t>该方向主要从事靶场光电测控设备，高端智能制造自动化光电仪器，自适应光学技术及其在军用地基望远镜、生物荧光超分辨显微镜、空间激光通信等领域的应用，光电智能监测检测技术等研究工作。</w:t>
      </w:r>
    </w:p>
    <w:p>
      <w:pPr>
        <w:spacing w:line="400" w:lineRule="exact"/>
        <w:ind w:firstLine="482" w:firstLineChars="200"/>
        <w:rPr>
          <w:rFonts w:ascii="Times New Roman" w:hAnsi="Times New Roman" w:eastAsia="仿宋" w:cs="仿宋"/>
          <w:b/>
          <w:bCs/>
          <w:kern w:val="0"/>
          <w:sz w:val="24"/>
        </w:rPr>
      </w:pPr>
      <w:r>
        <w:rPr>
          <w:rFonts w:hint="eastAsia" w:ascii="Times New Roman" w:hAnsi="Times New Roman" w:eastAsia="仿宋" w:cs="仿宋"/>
          <w:b/>
          <w:bCs/>
          <w:kern w:val="0"/>
          <w:sz w:val="24"/>
        </w:rPr>
        <w:t>03光通信与信息处理技术</w:t>
      </w:r>
    </w:p>
    <w:p>
      <w:pPr>
        <w:pStyle w:val="18"/>
        <w:spacing w:before="0" w:beforeAutospacing="0" w:after="0" w:afterAutospacing="0" w:line="400" w:lineRule="exact"/>
        <w:ind w:firstLine="420"/>
        <w:rPr>
          <w:rFonts w:ascii="Times New Roman" w:hAnsi="Times New Roman" w:eastAsia="仿宋"/>
        </w:rPr>
      </w:pPr>
      <w:r>
        <w:rPr>
          <w:rFonts w:ascii="Times New Roman" w:hAnsi="Times New Roman" w:eastAsia="仿宋"/>
        </w:rPr>
        <w:t>该方向瞄准光电信息技术前沿，以服务产业应用为指向，融合从图像传感器获取图像信息，到图像视频的处理，再到图像数据传输、存储、光电显示与通信等一整套图像获取与显示过程，综合光电子学、光电检测、电路与系统、图像处理和计算机技术。</w:t>
      </w:r>
    </w:p>
    <w:p>
      <w:pPr>
        <w:spacing w:line="400" w:lineRule="exact"/>
        <w:ind w:firstLine="482" w:firstLineChars="200"/>
        <w:rPr>
          <w:rFonts w:ascii="Times New Roman" w:hAnsi="Times New Roman" w:eastAsia="仿宋" w:cs="仿宋"/>
          <w:b/>
          <w:bCs/>
          <w:kern w:val="0"/>
          <w:sz w:val="24"/>
        </w:rPr>
      </w:pPr>
      <w:r>
        <w:rPr>
          <w:rFonts w:hint="eastAsia" w:ascii="Times New Roman" w:hAnsi="Times New Roman" w:eastAsia="仿宋" w:cs="仿宋"/>
          <w:b/>
          <w:bCs/>
          <w:kern w:val="0"/>
          <w:sz w:val="24"/>
        </w:rPr>
        <w:t>04</w:t>
      </w:r>
      <w:r>
        <w:fldChar w:fldCharType="begin"/>
      </w:r>
      <w:r>
        <w:instrText xml:space="preserve"> HYPERLINK "http://slxy.usts.edu.cn/yanjiusheng/peiyang/2015-03-13/course_detail.html" </w:instrText>
      </w:r>
      <w:r>
        <w:fldChar w:fldCharType="separate"/>
      </w:r>
      <w:r>
        <w:rPr>
          <w:rFonts w:hint="eastAsia" w:ascii="Times New Roman" w:hAnsi="Times New Roman" w:eastAsia="仿宋" w:cs="仿宋"/>
          <w:b/>
          <w:bCs/>
          <w:kern w:val="0"/>
          <w:sz w:val="24"/>
        </w:rPr>
        <w:t>光电子材料与器件</w:t>
      </w:r>
      <w:r>
        <w:rPr>
          <w:rFonts w:hint="eastAsia" w:ascii="Times New Roman" w:hAnsi="Times New Roman" w:eastAsia="仿宋" w:cs="仿宋"/>
          <w:b/>
          <w:bCs/>
          <w:kern w:val="0"/>
          <w:sz w:val="24"/>
        </w:rPr>
        <w:fldChar w:fldCharType="end"/>
      </w:r>
    </w:p>
    <w:p>
      <w:pPr>
        <w:pStyle w:val="18"/>
        <w:spacing w:before="0" w:beforeAutospacing="0" w:after="0" w:afterAutospacing="0" w:line="400" w:lineRule="exact"/>
        <w:ind w:firstLine="420"/>
        <w:rPr>
          <w:rFonts w:ascii="Times New Roman" w:hAnsi="Times New Roman" w:eastAsia="仿宋"/>
        </w:rPr>
      </w:pPr>
      <w:r>
        <w:rPr>
          <w:rFonts w:hint="eastAsia" w:ascii="Times New Roman" w:hAnsi="Times New Roman" w:eastAsia="仿宋"/>
        </w:rPr>
        <w:t>该方向主要研究激光材料、低维半导体光电材料、光子晶体、超材料等光电功能材料的光电特性，结合材料制备与表征技术、半导体制造技术和计算分析与模拟技术，开发高效率激光材料、LED发光材料，以及太阳能电池、气体传感器、光电探测器、光通讯及存储等光电子器件。</w:t>
      </w:r>
    </w:p>
    <w:p>
      <w:pPr>
        <w:spacing w:beforeLines="50" w:afterLines="50" w:line="400" w:lineRule="exact"/>
        <w:rPr>
          <w:rFonts w:ascii="Times New Roman" w:hAnsi="Times New Roman" w:eastAsia="仿宋" w:cs="仿宋"/>
          <w:kern w:val="0"/>
          <w:sz w:val="24"/>
        </w:rPr>
      </w:pPr>
      <w:r>
        <w:rPr>
          <w:rFonts w:hint="eastAsia" w:ascii="Times New Roman" w:hAnsi="Times New Roman" w:eastAsia="仿宋" w:cs="仿宋"/>
          <w:b/>
          <w:bCs/>
          <w:kern w:val="0"/>
          <w:sz w:val="28"/>
          <w:szCs w:val="28"/>
        </w:rPr>
        <w:t>四、学习年限</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本学科学制为</w:t>
      </w:r>
      <w:r>
        <w:rPr>
          <w:rFonts w:hint="eastAsia" w:ascii="Times New Roman" w:hAnsi="Times New Roman" w:eastAsia="仿宋" w:cs="仿宋"/>
          <w:b/>
          <w:bCs/>
          <w:kern w:val="0"/>
          <w:sz w:val="24"/>
        </w:rPr>
        <w:t>3</w:t>
      </w:r>
      <w:r>
        <w:rPr>
          <w:rFonts w:hint="eastAsia" w:ascii="Times New Roman" w:hAnsi="Times New Roman" w:eastAsia="仿宋" w:cs="仿宋"/>
          <w:kern w:val="0"/>
          <w:sz w:val="24"/>
        </w:rPr>
        <w:t>年。提前完成培养计划且成绩优异的研究生，以第一作者在核心期刊发表论文</w:t>
      </w:r>
      <w:r>
        <w:rPr>
          <w:rFonts w:hint="eastAsia" w:ascii="Times New Roman" w:hAnsi="Times New Roman" w:eastAsia="仿宋" w:cs="仿宋"/>
          <w:b/>
          <w:bCs/>
          <w:kern w:val="0"/>
          <w:sz w:val="24"/>
        </w:rPr>
        <w:t>2</w:t>
      </w:r>
      <w:r>
        <w:rPr>
          <w:rFonts w:hint="eastAsia" w:ascii="Times New Roman" w:hAnsi="Times New Roman" w:eastAsia="仿宋" w:cs="仿宋"/>
          <w:kern w:val="0"/>
          <w:sz w:val="24"/>
        </w:rPr>
        <w:t>篇以上，并被</w:t>
      </w:r>
      <w:r>
        <w:rPr>
          <w:rFonts w:hint="eastAsia" w:ascii="Times New Roman" w:hAnsi="Times New Roman" w:eastAsia="仿宋" w:cs="仿宋"/>
          <w:b/>
          <w:bCs/>
          <w:kern w:val="0"/>
          <w:sz w:val="24"/>
        </w:rPr>
        <w:t>SCI</w:t>
      </w:r>
      <w:r>
        <w:rPr>
          <w:rFonts w:hint="eastAsia" w:ascii="Times New Roman" w:hAnsi="Times New Roman" w:eastAsia="仿宋" w:cs="仿宋"/>
          <w:kern w:val="0"/>
          <w:sz w:val="24"/>
        </w:rPr>
        <w:t>或</w:t>
      </w:r>
      <w:r>
        <w:rPr>
          <w:rFonts w:hint="eastAsia" w:ascii="Times New Roman" w:hAnsi="Times New Roman" w:eastAsia="仿宋" w:cs="仿宋"/>
          <w:b/>
          <w:bCs/>
          <w:kern w:val="0"/>
          <w:sz w:val="24"/>
        </w:rPr>
        <w:t>EI</w:t>
      </w:r>
      <w:r>
        <w:rPr>
          <w:rFonts w:hint="eastAsia" w:ascii="Times New Roman" w:hAnsi="Times New Roman" w:eastAsia="仿宋" w:cs="仿宋"/>
          <w:kern w:val="0"/>
          <w:sz w:val="24"/>
        </w:rPr>
        <w:t>收录，可申请提前答辩；如遇特殊情况，由研究生本人提出申请，经导师同意、学院分管领导审核、研究生部批准，可适当延长学习年限。</w:t>
      </w:r>
      <w:r>
        <w:rPr>
          <w:rFonts w:ascii="Times New Roman" w:hAnsi="Times New Roman" w:eastAsia="仿宋"/>
          <w:kern w:val="0"/>
          <w:sz w:val="24"/>
        </w:rPr>
        <w:t>学习年限（自入学到毕业、授予学位的年限）不超过6学年。</w:t>
      </w:r>
    </w:p>
    <w:p>
      <w:pPr>
        <w:spacing w:beforeLines="50" w:afterLines="50" w:line="400" w:lineRule="exact"/>
        <w:rPr>
          <w:rFonts w:ascii="Times New Roman" w:hAnsi="Times New Roman" w:eastAsia="仿宋" w:cs="仿宋"/>
          <w:kern w:val="0"/>
          <w:sz w:val="24"/>
        </w:rPr>
      </w:pPr>
      <w:r>
        <w:rPr>
          <w:rFonts w:hint="eastAsia" w:ascii="Times New Roman" w:hAnsi="Times New Roman" w:eastAsia="仿宋" w:cs="仿宋"/>
          <w:b/>
          <w:bCs/>
          <w:kern w:val="0"/>
          <w:sz w:val="28"/>
          <w:szCs w:val="28"/>
        </w:rPr>
        <w:t>五、培养方式</w:t>
      </w:r>
    </w:p>
    <w:p>
      <w:pPr>
        <w:spacing w:line="400" w:lineRule="exact"/>
        <w:ind w:firstLine="482" w:firstLineChars="200"/>
        <w:rPr>
          <w:rFonts w:ascii="Times New Roman" w:hAnsi="Times New Roman" w:eastAsia="仿宋" w:cs="仿宋"/>
          <w:kern w:val="0"/>
          <w:sz w:val="24"/>
        </w:rPr>
      </w:pPr>
      <w:r>
        <w:rPr>
          <w:rFonts w:hint="eastAsia" w:ascii="Times New Roman" w:hAnsi="Times New Roman" w:eastAsia="仿宋" w:cs="仿宋"/>
          <w:b/>
          <w:bCs/>
          <w:kern w:val="0"/>
          <w:sz w:val="24"/>
        </w:rPr>
        <w:t>1</w:t>
      </w:r>
      <w:r>
        <w:rPr>
          <w:rFonts w:hint="eastAsia" w:ascii="Times New Roman" w:hAnsi="Times New Roman" w:eastAsia="仿宋" w:cs="仿宋"/>
          <w:kern w:val="0"/>
          <w:sz w:val="24"/>
        </w:rPr>
        <w:t>. 按照分类培养、创新模式的原则，实行导师负责制。同时，积极探索和实施学科团队合作培养、校—校和校—企联合培养等模式。</w:t>
      </w:r>
    </w:p>
    <w:p>
      <w:pPr>
        <w:spacing w:line="400" w:lineRule="exact"/>
        <w:ind w:firstLine="482" w:firstLineChars="200"/>
        <w:rPr>
          <w:rFonts w:ascii="Times New Roman" w:hAnsi="Times New Roman" w:eastAsia="仿宋" w:cs="仿宋"/>
          <w:kern w:val="0"/>
          <w:sz w:val="24"/>
        </w:rPr>
      </w:pPr>
      <w:r>
        <w:rPr>
          <w:rFonts w:hint="eastAsia" w:ascii="Times New Roman" w:hAnsi="Times New Roman" w:eastAsia="仿宋" w:cs="仿宋"/>
          <w:b/>
          <w:bCs/>
          <w:kern w:val="0"/>
          <w:sz w:val="24"/>
        </w:rPr>
        <w:t>2</w:t>
      </w:r>
      <w:r>
        <w:rPr>
          <w:rFonts w:hint="eastAsia" w:ascii="Times New Roman" w:hAnsi="Times New Roman" w:eastAsia="仿宋" w:cs="仿宋"/>
          <w:kern w:val="0"/>
          <w:sz w:val="24"/>
        </w:rPr>
        <w:t>. 培养采用系统理论学习和科学研究并重，课程、必修环节和学位论文相结合的方式进行，既要使学生深入掌握基础理论和专业知识，又要使学生掌握科学研究的基本方法和技能。</w:t>
      </w:r>
    </w:p>
    <w:p>
      <w:pPr>
        <w:spacing w:line="400" w:lineRule="exact"/>
        <w:ind w:firstLine="482" w:firstLineChars="200"/>
        <w:rPr>
          <w:rFonts w:ascii="Times New Roman" w:hAnsi="Times New Roman" w:eastAsia="仿宋" w:cs="仿宋"/>
          <w:kern w:val="0"/>
          <w:sz w:val="24"/>
        </w:rPr>
      </w:pPr>
      <w:r>
        <w:rPr>
          <w:rFonts w:hint="eastAsia" w:ascii="Times New Roman" w:hAnsi="Times New Roman" w:eastAsia="仿宋" w:cs="仿宋"/>
          <w:b/>
          <w:bCs/>
          <w:kern w:val="0"/>
          <w:sz w:val="24"/>
        </w:rPr>
        <w:t>3</w:t>
      </w:r>
      <w:r>
        <w:rPr>
          <w:rFonts w:hint="eastAsia" w:ascii="Times New Roman" w:hAnsi="Times New Roman" w:eastAsia="仿宋" w:cs="仿宋"/>
          <w:kern w:val="0"/>
          <w:sz w:val="24"/>
        </w:rPr>
        <w:t>. 既要充分发挥研究生导师的主导作用，又要积极发挥研究生的积极性、主动性和创造性，营造创新气氛，培养研究生获取知识、更新知识和创新知识的能力。</w:t>
      </w:r>
    </w:p>
    <w:p>
      <w:pPr>
        <w:spacing w:beforeLines="50" w:afterLines="50" w:line="400" w:lineRule="exact"/>
        <w:rPr>
          <w:rFonts w:ascii="Times New Roman" w:hAnsi="Times New Roman" w:eastAsia="仿宋" w:cs="仿宋"/>
          <w:kern w:val="0"/>
          <w:sz w:val="24"/>
        </w:rPr>
      </w:pPr>
      <w:r>
        <w:rPr>
          <w:rFonts w:hint="eastAsia" w:ascii="Times New Roman" w:hAnsi="Times New Roman" w:eastAsia="仿宋" w:cs="仿宋"/>
          <w:b/>
          <w:bCs/>
          <w:kern w:val="0"/>
          <w:sz w:val="28"/>
          <w:szCs w:val="28"/>
        </w:rPr>
        <w:t>六、学分要求</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硕士研究生的课程学习采用学分制。本学科研究生在学位论文答辩之前必须修完不少于</w:t>
      </w:r>
      <w:r>
        <w:rPr>
          <w:rFonts w:hint="eastAsia" w:ascii="Times New Roman" w:hAnsi="Times New Roman" w:eastAsia="仿宋" w:cs="仿宋"/>
          <w:b/>
          <w:bCs/>
          <w:kern w:val="0"/>
          <w:sz w:val="24"/>
        </w:rPr>
        <w:t>33</w:t>
      </w:r>
      <w:r>
        <w:rPr>
          <w:rFonts w:hint="eastAsia" w:ascii="Times New Roman" w:hAnsi="Times New Roman" w:eastAsia="仿宋" w:cs="仿宋"/>
          <w:kern w:val="0"/>
          <w:sz w:val="24"/>
        </w:rPr>
        <w:t>学分，且总学分原则上不超过</w:t>
      </w:r>
      <w:r>
        <w:rPr>
          <w:rFonts w:hint="eastAsia" w:ascii="Times New Roman" w:hAnsi="Times New Roman" w:eastAsia="仿宋" w:cs="仿宋"/>
          <w:b/>
          <w:bCs/>
          <w:kern w:val="0"/>
          <w:sz w:val="24"/>
        </w:rPr>
        <w:t>3</w:t>
      </w:r>
      <w:r>
        <w:rPr>
          <w:rFonts w:hint="eastAsia" w:ascii="Times New Roman" w:hAnsi="Times New Roman" w:eastAsia="仿宋" w:cs="仿宋"/>
          <w:b/>
          <w:bCs/>
          <w:kern w:val="0"/>
          <w:sz w:val="24"/>
          <w:lang w:val="en-US" w:eastAsia="zh-CN"/>
        </w:rPr>
        <w:t>6</w:t>
      </w:r>
      <w:bookmarkStart w:id="14" w:name="_GoBack"/>
      <w:bookmarkEnd w:id="14"/>
      <w:r>
        <w:rPr>
          <w:rFonts w:hint="eastAsia" w:ascii="Times New Roman" w:hAnsi="Times New Roman" w:eastAsia="仿宋" w:cs="仿宋"/>
          <w:kern w:val="0"/>
          <w:sz w:val="24"/>
        </w:rPr>
        <w:t>学分，同时满足公共课、学科基础课、专业基础课、选修课和必修环节的学分要求。 </w:t>
      </w:r>
    </w:p>
    <w:p>
      <w:pPr>
        <w:spacing w:beforeLines="50" w:afterLines="50" w:line="400" w:lineRule="exact"/>
        <w:rPr>
          <w:rFonts w:ascii="Times New Roman" w:hAnsi="Times New Roman" w:eastAsia="仿宋" w:cs="仿宋"/>
          <w:kern w:val="0"/>
          <w:sz w:val="24"/>
        </w:rPr>
      </w:pPr>
      <w:r>
        <w:rPr>
          <w:rFonts w:hint="eastAsia" w:ascii="Times New Roman" w:hAnsi="Times New Roman" w:eastAsia="仿宋" w:cs="仿宋"/>
          <w:b/>
          <w:bCs/>
          <w:kern w:val="0"/>
          <w:sz w:val="28"/>
          <w:szCs w:val="28"/>
        </w:rPr>
        <w:t>七、课程设置与要求</w:t>
      </w:r>
    </w:p>
    <w:p>
      <w:pPr>
        <w:spacing w:line="400" w:lineRule="exact"/>
        <w:ind w:firstLine="482" w:firstLineChars="200"/>
        <w:rPr>
          <w:rFonts w:ascii="Times New Roman" w:hAnsi="Times New Roman" w:eastAsia="仿宋" w:cs="仿宋"/>
          <w:b/>
          <w:bCs/>
          <w:kern w:val="0"/>
          <w:sz w:val="24"/>
        </w:rPr>
      </w:pPr>
      <w:r>
        <w:rPr>
          <w:rFonts w:hint="eastAsia" w:ascii="Times New Roman" w:hAnsi="Times New Roman" w:eastAsia="仿宋" w:cs="仿宋"/>
          <w:b/>
          <w:bCs/>
          <w:kern w:val="0"/>
          <w:sz w:val="24"/>
        </w:rPr>
        <w:t>（一）课程设置</w:t>
      </w:r>
    </w:p>
    <w:p>
      <w:pPr>
        <w:spacing w:line="400" w:lineRule="exact"/>
        <w:jc w:val="center"/>
        <w:rPr>
          <w:rFonts w:ascii="Times New Roman" w:hAnsi="Times New Roman" w:eastAsia="仿宋" w:cs="仿宋"/>
          <w:b/>
          <w:bCs/>
          <w:kern w:val="0"/>
          <w:sz w:val="24"/>
        </w:rPr>
      </w:pPr>
      <w:r>
        <w:rPr>
          <w:rFonts w:hint="eastAsia" w:ascii="Times New Roman" w:hAnsi="Times New Roman" w:eastAsia="仿宋" w:cs="仿宋"/>
          <w:b/>
          <w:bCs/>
          <w:kern w:val="0"/>
          <w:sz w:val="24"/>
        </w:rPr>
        <w:t>课程设置表</w:t>
      </w:r>
    </w:p>
    <w:tbl>
      <w:tblPr>
        <w:tblStyle w:val="19"/>
        <w:tblW w:w="10037"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20"/>
        <w:gridCol w:w="965"/>
        <w:gridCol w:w="1189"/>
        <w:gridCol w:w="3254"/>
        <w:gridCol w:w="567"/>
        <w:gridCol w:w="519"/>
        <w:gridCol w:w="440"/>
        <w:gridCol w:w="440"/>
        <w:gridCol w:w="440"/>
        <w:gridCol w:w="608"/>
        <w:gridCol w:w="813"/>
        <w:gridCol w:w="38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1385" w:type="dxa"/>
            <w:gridSpan w:val="2"/>
            <w:vMerge w:val="restart"/>
            <w:tcBorders>
              <w:top w:val="double" w:color="auto" w:sz="4" w:space="0"/>
              <w:left w:val="double" w:color="auto" w:sz="4" w:space="0"/>
              <w:bottom w:val="single" w:color="auto" w:sz="6" w:space="0"/>
              <w:right w:val="single" w:color="auto" w:sz="6" w:space="0"/>
            </w:tcBorders>
            <w:noWrap/>
            <w:vAlign w:val="center"/>
          </w:tcPr>
          <w:p>
            <w:pPr>
              <w:spacing w:line="400" w:lineRule="exact"/>
              <w:jc w:val="center"/>
              <w:rPr>
                <w:rFonts w:ascii="Times New Roman" w:hAnsi="Times New Roman" w:eastAsia="仿宋" w:cs="仿宋"/>
                <w:kern w:val="0"/>
                <w:szCs w:val="21"/>
              </w:rPr>
            </w:pPr>
            <w:r>
              <w:rPr>
                <w:rFonts w:hint="eastAsia" w:ascii="Times New Roman" w:hAnsi="Times New Roman" w:eastAsia="仿宋" w:cs="仿宋"/>
                <w:kern w:val="0"/>
                <w:szCs w:val="21"/>
              </w:rPr>
              <w:t>类别</w:t>
            </w:r>
          </w:p>
        </w:tc>
        <w:tc>
          <w:tcPr>
            <w:tcW w:w="1189" w:type="dxa"/>
            <w:vMerge w:val="restart"/>
            <w:tcBorders>
              <w:top w:val="double" w:color="auto" w:sz="4" w:space="0"/>
              <w:left w:val="single" w:color="auto" w:sz="6" w:space="0"/>
              <w:bottom w:val="single" w:color="auto" w:sz="6" w:space="0"/>
              <w:right w:val="single" w:color="auto" w:sz="6" w:space="0"/>
            </w:tcBorders>
            <w:noWrap/>
            <w:vAlign w:val="center"/>
          </w:tcPr>
          <w:p>
            <w:pPr>
              <w:spacing w:line="400" w:lineRule="exact"/>
              <w:jc w:val="center"/>
              <w:rPr>
                <w:rFonts w:ascii="Times New Roman" w:hAnsi="Times New Roman" w:eastAsia="仿宋" w:cs="仿宋"/>
                <w:kern w:val="0"/>
                <w:szCs w:val="21"/>
              </w:rPr>
            </w:pPr>
            <w:r>
              <w:rPr>
                <w:rFonts w:hint="eastAsia" w:ascii="Times New Roman" w:hAnsi="Times New Roman" w:eastAsia="仿宋" w:cs="仿宋"/>
                <w:kern w:val="0"/>
                <w:szCs w:val="21"/>
              </w:rPr>
              <w:t>课程编号</w:t>
            </w:r>
          </w:p>
        </w:tc>
        <w:tc>
          <w:tcPr>
            <w:tcW w:w="3254" w:type="dxa"/>
            <w:vMerge w:val="restart"/>
            <w:tcBorders>
              <w:top w:val="double" w:color="auto" w:sz="4" w:space="0"/>
              <w:left w:val="single" w:color="auto" w:sz="6" w:space="0"/>
              <w:bottom w:val="single" w:color="auto" w:sz="6" w:space="0"/>
              <w:right w:val="single" w:color="auto" w:sz="6" w:space="0"/>
            </w:tcBorders>
            <w:noWrap/>
            <w:vAlign w:val="center"/>
          </w:tcPr>
          <w:p>
            <w:pPr>
              <w:spacing w:line="400" w:lineRule="exact"/>
              <w:jc w:val="center"/>
              <w:rPr>
                <w:rFonts w:ascii="Times New Roman" w:hAnsi="Times New Roman" w:eastAsia="仿宋" w:cs="仿宋"/>
                <w:kern w:val="0"/>
                <w:szCs w:val="21"/>
              </w:rPr>
            </w:pPr>
            <w:r>
              <w:rPr>
                <w:rFonts w:hint="eastAsia" w:ascii="Times New Roman" w:hAnsi="Times New Roman" w:eastAsia="仿宋" w:cs="仿宋"/>
                <w:kern w:val="0"/>
                <w:szCs w:val="21"/>
              </w:rPr>
              <w:t>课程名称</w:t>
            </w:r>
          </w:p>
        </w:tc>
        <w:tc>
          <w:tcPr>
            <w:tcW w:w="567" w:type="dxa"/>
            <w:vMerge w:val="restart"/>
            <w:tcBorders>
              <w:top w:val="double" w:color="auto" w:sz="4" w:space="0"/>
              <w:left w:val="single" w:color="auto" w:sz="6" w:space="0"/>
              <w:bottom w:val="single" w:color="auto" w:sz="6" w:space="0"/>
              <w:right w:val="single" w:color="auto" w:sz="6" w:space="0"/>
            </w:tcBorders>
            <w:tcMar>
              <w:top w:w="0" w:type="dxa"/>
              <w:left w:w="28" w:type="dxa"/>
              <w:bottom w:w="0" w:type="dxa"/>
              <w:right w:w="28" w:type="dxa"/>
            </w:tcMar>
            <w:vAlign w:val="center"/>
          </w:tcPr>
          <w:p>
            <w:pPr>
              <w:spacing w:line="400" w:lineRule="exact"/>
              <w:jc w:val="center"/>
              <w:rPr>
                <w:rFonts w:ascii="Times New Roman" w:hAnsi="Times New Roman" w:eastAsia="仿宋" w:cs="仿宋"/>
                <w:kern w:val="0"/>
                <w:szCs w:val="21"/>
              </w:rPr>
            </w:pPr>
            <w:r>
              <w:rPr>
                <w:rFonts w:hint="eastAsia" w:ascii="Times New Roman" w:hAnsi="Times New Roman" w:eastAsia="仿宋" w:cs="仿宋"/>
                <w:kern w:val="0"/>
                <w:szCs w:val="21"/>
              </w:rPr>
              <w:t>学时</w:t>
            </w:r>
          </w:p>
        </w:tc>
        <w:tc>
          <w:tcPr>
            <w:tcW w:w="519" w:type="dxa"/>
            <w:vMerge w:val="restart"/>
            <w:tcBorders>
              <w:top w:val="double" w:color="auto" w:sz="4" w:space="0"/>
              <w:left w:val="single" w:color="auto" w:sz="6" w:space="0"/>
              <w:bottom w:val="single" w:color="auto" w:sz="6" w:space="0"/>
              <w:right w:val="single" w:color="auto" w:sz="6" w:space="0"/>
            </w:tcBorders>
            <w:tcMar>
              <w:top w:w="0" w:type="dxa"/>
              <w:left w:w="28" w:type="dxa"/>
              <w:bottom w:w="0" w:type="dxa"/>
              <w:right w:w="28" w:type="dxa"/>
            </w:tcMar>
            <w:vAlign w:val="center"/>
          </w:tcPr>
          <w:p>
            <w:pPr>
              <w:spacing w:line="400" w:lineRule="exact"/>
              <w:jc w:val="center"/>
              <w:rPr>
                <w:rFonts w:ascii="Times New Roman" w:hAnsi="Times New Roman" w:eastAsia="仿宋" w:cs="仿宋"/>
                <w:kern w:val="0"/>
                <w:szCs w:val="21"/>
              </w:rPr>
            </w:pPr>
            <w:r>
              <w:rPr>
                <w:rFonts w:hint="eastAsia" w:ascii="Times New Roman" w:hAnsi="Times New Roman" w:eastAsia="仿宋" w:cs="仿宋"/>
                <w:kern w:val="0"/>
                <w:szCs w:val="21"/>
              </w:rPr>
              <w:t>学分</w:t>
            </w:r>
          </w:p>
        </w:tc>
        <w:tc>
          <w:tcPr>
            <w:tcW w:w="1320" w:type="dxa"/>
            <w:gridSpan w:val="3"/>
            <w:tcBorders>
              <w:top w:val="double" w:color="auto" w:sz="4"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spacing w:line="400" w:lineRule="exact"/>
              <w:jc w:val="center"/>
              <w:rPr>
                <w:rFonts w:ascii="Times New Roman" w:hAnsi="Times New Roman" w:eastAsia="仿宋" w:cs="仿宋"/>
                <w:kern w:val="0"/>
                <w:szCs w:val="21"/>
              </w:rPr>
            </w:pPr>
            <w:r>
              <w:rPr>
                <w:rFonts w:hint="eastAsia" w:ascii="Times New Roman" w:hAnsi="Times New Roman" w:eastAsia="仿宋" w:cs="仿宋"/>
                <w:kern w:val="0"/>
                <w:szCs w:val="21"/>
              </w:rPr>
              <w:t>开课学期</w:t>
            </w:r>
          </w:p>
        </w:tc>
        <w:tc>
          <w:tcPr>
            <w:tcW w:w="608" w:type="dxa"/>
            <w:vMerge w:val="restart"/>
            <w:tcBorders>
              <w:top w:val="double" w:color="auto" w:sz="4"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spacing w:line="400" w:lineRule="exact"/>
              <w:jc w:val="center"/>
              <w:rPr>
                <w:rFonts w:ascii="Times New Roman" w:hAnsi="Times New Roman" w:eastAsia="仿宋" w:cs="仿宋"/>
                <w:kern w:val="0"/>
                <w:szCs w:val="21"/>
              </w:rPr>
            </w:pPr>
            <w:r>
              <w:rPr>
                <w:rFonts w:hint="eastAsia" w:ascii="Times New Roman" w:hAnsi="Times New Roman" w:eastAsia="仿宋" w:cs="仿宋"/>
                <w:kern w:val="0"/>
                <w:szCs w:val="21"/>
              </w:rPr>
              <w:t>考核方式</w:t>
            </w:r>
          </w:p>
        </w:tc>
        <w:tc>
          <w:tcPr>
            <w:tcW w:w="1195" w:type="dxa"/>
            <w:gridSpan w:val="2"/>
            <w:vMerge w:val="restart"/>
            <w:tcBorders>
              <w:top w:val="double" w:color="auto" w:sz="4" w:space="0"/>
              <w:left w:val="single" w:color="auto" w:sz="6" w:space="0"/>
              <w:bottom w:val="single" w:color="auto" w:sz="6" w:space="0"/>
              <w:right w:val="double" w:color="auto" w:sz="4" w:space="0"/>
            </w:tcBorders>
            <w:noWrap/>
            <w:vAlign w:val="center"/>
          </w:tcPr>
          <w:p>
            <w:pPr>
              <w:spacing w:line="400" w:lineRule="exact"/>
              <w:jc w:val="center"/>
              <w:rPr>
                <w:rFonts w:ascii="Times New Roman" w:hAnsi="Times New Roman" w:eastAsia="仿宋" w:cs="仿宋"/>
                <w:kern w:val="0"/>
                <w:szCs w:val="21"/>
              </w:rPr>
            </w:pPr>
            <w:r>
              <w:rPr>
                <w:rFonts w:hint="eastAsia" w:ascii="Times New Roman" w:hAnsi="Times New Roman" w:eastAsia="仿宋" w:cs="仿宋"/>
                <w:kern w:val="0"/>
                <w:szCs w:val="21"/>
              </w:rPr>
              <w:t>备注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05" w:hRule="atLeast"/>
          <w:jc w:val="center"/>
        </w:trPr>
        <w:tc>
          <w:tcPr>
            <w:tcW w:w="1385" w:type="dxa"/>
            <w:gridSpan w:val="2"/>
            <w:vMerge w:val="continue"/>
            <w:tcBorders>
              <w:top w:val="double" w:color="auto" w:sz="4" w:space="0"/>
              <w:left w:val="double" w:color="auto" w:sz="4" w:space="0"/>
              <w:bottom w:val="single" w:color="auto" w:sz="6"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1189" w:type="dxa"/>
            <w:vMerge w:val="continue"/>
            <w:tcBorders>
              <w:top w:val="double" w:color="auto" w:sz="4"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3254" w:type="dxa"/>
            <w:vMerge w:val="continue"/>
            <w:tcBorders>
              <w:top w:val="double" w:color="auto" w:sz="4"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567" w:type="dxa"/>
            <w:vMerge w:val="continue"/>
            <w:tcBorders>
              <w:top w:val="double" w:color="auto" w:sz="4"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519" w:type="dxa"/>
            <w:vMerge w:val="continue"/>
            <w:tcBorders>
              <w:top w:val="double" w:color="auto" w:sz="4"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spacing w:line="400" w:lineRule="exact"/>
              <w:jc w:val="center"/>
              <w:rPr>
                <w:rFonts w:ascii="Times New Roman" w:hAnsi="Times New Roman" w:eastAsia="仿宋" w:cs="仿宋"/>
                <w:kern w:val="0"/>
                <w:szCs w:val="21"/>
              </w:rPr>
            </w:pPr>
            <w:r>
              <w:rPr>
                <w:rFonts w:hint="eastAsia" w:ascii="Times New Roman" w:hAnsi="Times New Roman" w:eastAsia="仿宋" w:cs="仿宋"/>
                <w:kern w:val="0"/>
                <w:szCs w:val="21"/>
              </w:rPr>
              <w:t>1</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spacing w:line="400" w:lineRule="exact"/>
              <w:jc w:val="center"/>
              <w:rPr>
                <w:rFonts w:ascii="Times New Roman" w:hAnsi="Times New Roman" w:eastAsia="仿宋" w:cs="仿宋"/>
                <w:kern w:val="0"/>
                <w:szCs w:val="21"/>
              </w:rPr>
            </w:pPr>
            <w:r>
              <w:rPr>
                <w:rFonts w:hint="eastAsia" w:ascii="Times New Roman" w:hAnsi="Times New Roman" w:eastAsia="仿宋" w:cs="仿宋"/>
                <w:kern w:val="0"/>
                <w:szCs w:val="21"/>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spacing w:line="400" w:lineRule="exact"/>
              <w:jc w:val="center"/>
              <w:rPr>
                <w:rFonts w:ascii="Times New Roman" w:hAnsi="Times New Roman" w:eastAsia="仿宋" w:cs="仿宋"/>
                <w:kern w:val="0"/>
                <w:szCs w:val="21"/>
              </w:rPr>
            </w:pPr>
            <w:r>
              <w:rPr>
                <w:rFonts w:hint="eastAsia" w:ascii="Times New Roman" w:hAnsi="Times New Roman" w:eastAsia="仿宋" w:cs="仿宋"/>
                <w:kern w:val="0"/>
                <w:szCs w:val="21"/>
              </w:rPr>
              <w:t>3</w:t>
            </w:r>
          </w:p>
        </w:tc>
        <w:tc>
          <w:tcPr>
            <w:tcW w:w="608" w:type="dxa"/>
            <w:vMerge w:val="continue"/>
            <w:tcBorders>
              <w:top w:val="double" w:color="auto" w:sz="4"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1195" w:type="dxa"/>
            <w:gridSpan w:val="2"/>
            <w:vMerge w:val="continue"/>
            <w:tcBorders>
              <w:top w:val="double" w:color="auto" w:sz="4" w:space="0"/>
              <w:left w:val="single" w:color="auto" w:sz="6" w:space="0"/>
              <w:bottom w:val="single" w:color="auto" w:sz="6" w:space="0"/>
              <w:right w:val="double" w:color="auto" w:sz="4" w:space="0"/>
            </w:tcBorders>
            <w:vAlign w:val="center"/>
          </w:tcPr>
          <w:p>
            <w:pPr>
              <w:spacing w:line="400" w:lineRule="exact"/>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restart"/>
            <w:tcBorders>
              <w:top w:val="single" w:color="auto" w:sz="6" w:space="0"/>
              <w:left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r>
              <w:rPr>
                <w:rFonts w:hint="eastAsia" w:ascii="Times New Roman" w:hAnsi="Times New Roman" w:eastAsia="仿宋" w:cs="仿宋"/>
                <w:kern w:val="0"/>
                <w:szCs w:val="21"/>
              </w:rPr>
              <w:t>学位课</w:t>
            </w:r>
          </w:p>
        </w:tc>
        <w:tc>
          <w:tcPr>
            <w:tcW w:w="965"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公共课</w:t>
            </w: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10332004</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基础英语（一）</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64</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考试</w:t>
            </w:r>
          </w:p>
        </w:tc>
        <w:tc>
          <w:tcPr>
            <w:tcW w:w="1195" w:type="dxa"/>
            <w:gridSpan w:val="2"/>
            <w:vMerge w:val="restart"/>
            <w:tcBorders>
              <w:top w:val="single" w:color="auto" w:sz="6" w:space="0"/>
              <w:left w:val="single" w:color="auto" w:sz="6" w:space="0"/>
              <w:bottom w:val="single" w:color="auto" w:sz="6" w:space="0"/>
              <w:right w:val="double" w:color="auto" w:sz="4" w:space="0"/>
            </w:tcBorders>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7学分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left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10332005</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基础英语（二）</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64</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考试</w:t>
            </w:r>
          </w:p>
        </w:tc>
        <w:tc>
          <w:tcPr>
            <w:tcW w:w="1195" w:type="dxa"/>
            <w:gridSpan w:val="2"/>
            <w:vMerge w:val="continue"/>
            <w:tcBorders>
              <w:top w:val="single" w:color="auto" w:sz="6" w:space="0"/>
              <w:left w:val="single" w:color="auto" w:sz="6" w:space="0"/>
              <w:bottom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left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10332010</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pacing w:val="-20"/>
                <w:kern w:val="0"/>
                <w:szCs w:val="21"/>
              </w:rPr>
            </w:pPr>
            <w:r>
              <w:rPr>
                <w:rFonts w:hint="eastAsia" w:ascii="Times New Roman" w:hAnsi="Times New Roman" w:eastAsia="仿宋" w:cs="仿宋"/>
                <w:spacing w:val="-20"/>
                <w:kern w:val="0"/>
                <w:szCs w:val="21"/>
              </w:rPr>
              <w:t>中国特色社会主义理论与实践研究</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32</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考试</w:t>
            </w:r>
          </w:p>
        </w:tc>
        <w:tc>
          <w:tcPr>
            <w:tcW w:w="1195" w:type="dxa"/>
            <w:gridSpan w:val="2"/>
            <w:vMerge w:val="continue"/>
            <w:tcBorders>
              <w:top w:val="single" w:color="auto" w:sz="6" w:space="0"/>
              <w:left w:val="single" w:color="auto" w:sz="6" w:space="0"/>
              <w:bottom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left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10332015</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自然辩证法概论</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16</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1</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考试</w:t>
            </w:r>
          </w:p>
        </w:tc>
        <w:tc>
          <w:tcPr>
            <w:tcW w:w="1195" w:type="dxa"/>
            <w:gridSpan w:val="2"/>
            <w:vMerge w:val="continue"/>
            <w:tcBorders>
              <w:top w:val="single" w:color="auto" w:sz="6" w:space="0"/>
              <w:left w:val="single" w:color="auto" w:sz="6" w:space="0"/>
              <w:bottom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left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学科</w:t>
            </w:r>
          </w:p>
          <w:p>
            <w:pPr>
              <w:jc w:val="center"/>
              <w:rPr>
                <w:rFonts w:ascii="Times New Roman" w:hAnsi="Times New Roman" w:eastAsia="仿宋" w:cs="仿宋"/>
                <w:kern w:val="0"/>
                <w:szCs w:val="21"/>
              </w:rPr>
            </w:pPr>
            <w:r>
              <w:rPr>
                <w:rFonts w:hint="eastAsia" w:ascii="Times New Roman" w:hAnsi="Times New Roman" w:eastAsia="仿宋" w:cs="仿宋"/>
                <w:kern w:val="0"/>
                <w:szCs w:val="21"/>
              </w:rPr>
              <w:t>基础课</w:t>
            </w: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08030001</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hint="eastAsia" w:ascii="Times New Roman" w:hAnsi="Times New Roman" w:eastAsia="仿宋" w:cs="仿宋"/>
                <w:szCs w:val="21"/>
              </w:rPr>
              <w:t>科学工程计算</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Cs w:val="21"/>
              </w:rPr>
            </w:pPr>
            <w:r>
              <w:rPr>
                <w:rFonts w:hint="eastAsia" w:ascii="Times New Roman" w:hAnsi="Times New Roman" w:eastAsia="仿宋" w:cs="仿宋"/>
                <w:szCs w:val="21"/>
              </w:rPr>
              <w:t>48</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Cs w:val="21"/>
              </w:rPr>
            </w:pPr>
            <w:r>
              <w:rPr>
                <w:rFonts w:hint="eastAsia" w:ascii="Times New Roman" w:hAnsi="Times New Roman" w:eastAsia="仿宋" w:cs="仿宋"/>
                <w:szCs w:val="21"/>
              </w:rPr>
              <w:t>3</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Cs w:val="21"/>
              </w:rPr>
            </w:pPr>
            <w:r>
              <w:rPr>
                <w:rFonts w:hint="eastAsia" w:ascii="Times New Roman" w:hAnsi="Times New Roman" w:eastAsia="仿宋" w:cs="仿宋"/>
                <w:szCs w:val="21"/>
              </w:rPr>
              <w:t>考试</w:t>
            </w:r>
          </w:p>
        </w:tc>
        <w:tc>
          <w:tcPr>
            <w:tcW w:w="1195" w:type="dxa"/>
            <w:gridSpan w:val="2"/>
            <w:vMerge w:val="restart"/>
            <w:tcBorders>
              <w:top w:val="single" w:color="auto" w:sz="6" w:space="0"/>
              <w:left w:val="single" w:color="auto" w:sz="6" w:space="0"/>
              <w:right w:val="double" w:color="auto" w:sz="4"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7学分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left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08030002</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szCs w:val="21"/>
              </w:rPr>
              <w:t>光学原理</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szCs w:val="21"/>
              </w:rPr>
              <w:t>48</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szCs w:val="21"/>
              </w:rPr>
              <w:t>3</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szCs w:val="21"/>
              </w:rPr>
              <w:t>考试</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left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08030018</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hint="eastAsia" w:ascii="Times New Roman" w:hAnsi="Times New Roman" w:eastAsia="仿宋" w:cs="仿宋"/>
                <w:szCs w:val="21"/>
              </w:rPr>
              <w:t>科技论文写作</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Cs w:val="21"/>
              </w:rPr>
            </w:pPr>
            <w:r>
              <w:rPr>
                <w:rFonts w:hint="eastAsia" w:ascii="Times New Roman" w:hAnsi="Times New Roman" w:eastAsia="仿宋" w:cs="仿宋"/>
                <w:szCs w:val="21"/>
              </w:rPr>
              <w:t>16</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Cs w:val="21"/>
              </w:rPr>
            </w:pPr>
            <w:r>
              <w:rPr>
                <w:rFonts w:hint="eastAsia" w:ascii="Times New Roman" w:hAnsi="Times New Roman" w:eastAsia="仿宋" w:cs="仿宋"/>
                <w:szCs w:val="21"/>
              </w:rPr>
              <w:t>1</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Cs w:val="21"/>
              </w:rPr>
            </w:pPr>
            <w:r>
              <w:rPr>
                <w:rFonts w:hint="eastAsia" w:ascii="Times New Roman" w:hAnsi="Times New Roman" w:eastAsia="仿宋" w:cs="仿宋"/>
                <w:szCs w:val="21"/>
              </w:rPr>
              <w:t>考试</w:t>
            </w:r>
          </w:p>
        </w:tc>
        <w:tc>
          <w:tcPr>
            <w:tcW w:w="1195" w:type="dxa"/>
            <w:gridSpan w:val="2"/>
            <w:vMerge w:val="continue"/>
            <w:tcBorders>
              <w:left w:val="single" w:color="auto" w:sz="6" w:space="0"/>
              <w:bottom w:val="single" w:color="auto" w:sz="4"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left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专业</w:t>
            </w:r>
          </w:p>
          <w:p>
            <w:pPr>
              <w:jc w:val="center"/>
              <w:rPr>
                <w:rFonts w:ascii="Times New Roman" w:hAnsi="Times New Roman" w:eastAsia="仿宋" w:cs="仿宋"/>
                <w:kern w:val="0"/>
                <w:szCs w:val="21"/>
              </w:rPr>
            </w:pPr>
            <w:r>
              <w:rPr>
                <w:rFonts w:hint="eastAsia" w:ascii="Times New Roman" w:hAnsi="Times New Roman" w:eastAsia="仿宋" w:cs="仿宋"/>
                <w:kern w:val="0"/>
                <w:szCs w:val="21"/>
              </w:rPr>
              <w:t>基础课</w:t>
            </w: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08030003</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hint="eastAsia" w:ascii="Times New Roman" w:hAnsi="Times New Roman" w:eastAsia="仿宋" w:cs="仿宋"/>
                <w:szCs w:val="21"/>
              </w:rPr>
              <w:t>应用光学</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48</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3</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Cs w:val="21"/>
              </w:rPr>
            </w:pPr>
            <w:r>
              <w:rPr>
                <w:rFonts w:hint="eastAsia" w:ascii="Times New Roman" w:hAnsi="Times New Roman" w:eastAsia="仿宋" w:cs="仿宋"/>
                <w:szCs w:val="21"/>
              </w:rPr>
              <w:t>考试</w:t>
            </w:r>
          </w:p>
        </w:tc>
        <w:tc>
          <w:tcPr>
            <w:tcW w:w="813" w:type="dxa"/>
            <w:vMerge w:val="restart"/>
            <w:tcBorders>
              <w:top w:val="single" w:color="auto" w:sz="6" w:space="0"/>
              <w:left w:val="single" w:color="auto" w:sz="6" w:space="0"/>
              <w:right w:val="single" w:color="auto" w:sz="4" w:space="0"/>
            </w:tcBorders>
            <w:noWrap/>
            <w:vAlign w:val="center"/>
          </w:tcPr>
          <w:p>
            <w:pPr>
              <w:jc w:val="center"/>
              <w:rPr>
                <w:rFonts w:ascii="Times New Roman" w:hAnsi="Times New Roman" w:eastAsia="仿宋" w:cs="仿宋"/>
                <w:kern w:val="0"/>
                <w:szCs w:val="21"/>
              </w:rPr>
            </w:pPr>
            <w:r>
              <w:rPr>
                <w:rFonts w:ascii="Times New Roman" w:hAnsi="Times New Roman" w:eastAsia="仿宋" w:cs="仿宋"/>
                <w:kern w:val="0"/>
                <w:szCs w:val="21"/>
              </w:rPr>
              <w:t>01</w:t>
            </w:r>
            <w:r>
              <w:rPr>
                <w:rFonts w:hint="eastAsia" w:ascii="Times New Roman" w:hAnsi="Times New Roman" w:eastAsia="仿宋" w:cs="仿宋"/>
                <w:kern w:val="0"/>
                <w:szCs w:val="21"/>
              </w:rPr>
              <w:t>、0</w:t>
            </w:r>
            <w:r>
              <w:rPr>
                <w:rFonts w:ascii="Times New Roman" w:hAnsi="Times New Roman" w:eastAsia="仿宋" w:cs="仿宋"/>
                <w:kern w:val="0"/>
                <w:szCs w:val="21"/>
              </w:rPr>
              <w:t>2</w:t>
            </w:r>
            <w:r>
              <w:rPr>
                <w:rFonts w:hint="eastAsia" w:ascii="Times New Roman" w:hAnsi="Times New Roman" w:eastAsia="仿宋" w:cs="仿宋"/>
                <w:kern w:val="0"/>
                <w:szCs w:val="21"/>
              </w:rPr>
              <w:t>、</w:t>
            </w:r>
            <w:r>
              <w:rPr>
                <w:rFonts w:ascii="Times New Roman" w:hAnsi="Times New Roman" w:eastAsia="仿宋" w:cs="仿宋"/>
                <w:kern w:val="0"/>
                <w:szCs w:val="21"/>
              </w:rPr>
              <w:t>04</w:t>
            </w:r>
            <w:r>
              <w:rPr>
                <w:rFonts w:hint="eastAsia" w:ascii="Times New Roman" w:hAnsi="Times New Roman" w:eastAsia="仿宋" w:cs="仿宋"/>
                <w:kern w:val="0"/>
                <w:szCs w:val="21"/>
              </w:rPr>
              <w:t>方向</w:t>
            </w:r>
          </w:p>
        </w:tc>
        <w:tc>
          <w:tcPr>
            <w:tcW w:w="382" w:type="dxa"/>
            <w:vMerge w:val="restart"/>
            <w:tcBorders>
              <w:top w:val="single" w:color="auto" w:sz="6" w:space="0"/>
              <w:left w:val="single" w:color="auto" w:sz="4" w:space="0"/>
              <w:right w:val="double" w:color="auto" w:sz="4" w:space="0"/>
            </w:tcBorders>
            <w:vAlign w:val="center"/>
          </w:tcPr>
          <w:p>
            <w:pPr>
              <w:jc w:val="center"/>
              <w:rPr>
                <w:rFonts w:ascii="Times New Roman" w:hAnsi="Times New Roman" w:eastAsia="仿宋" w:cs="仿宋"/>
                <w:kern w:val="0"/>
                <w:szCs w:val="21"/>
              </w:rPr>
            </w:pPr>
            <w:r>
              <w:rPr>
                <w:rFonts w:ascii="Times New Roman" w:hAnsi="Times New Roman" w:eastAsia="仿宋" w:cs="仿宋"/>
                <w:kern w:val="0"/>
                <w:szCs w:val="21"/>
              </w:rPr>
              <w:t>8</w:t>
            </w:r>
            <w:r>
              <w:rPr>
                <w:rFonts w:hint="eastAsia" w:ascii="Times New Roman" w:hAnsi="Times New Roman" w:eastAsia="仿宋" w:cs="仿宋"/>
                <w:kern w:val="0"/>
                <w:szCs w:val="21"/>
              </w:rPr>
              <w:t>学分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left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08030004</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szCs w:val="21"/>
              </w:rPr>
              <w:t>半导体物理与器件</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sz w:val="20"/>
              </w:rPr>
              <w:t>48</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sz w:val="20"/>
              </w:rPr>
              <w:t>3</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sz w:val="20"/>
              </w:rPr>
              <w:t>考试</w:t>
            </w:r>
          </w:p>
        </w:tc>
        <w:tc>
          <w:tcPr>
            <w:tcW w:w="813" w:type="dxa"/>
            <w:vMerge w:val="continue"/>
            <w:tcBorders>
              <w:left w:val="single" w:color="auto" w:sz="6" w:space="0"/>
              <w:right w:val="single" w:color="auto" w:sz="4" w:space="0"/>
            </w:tcBorders>
            <w:vAlign w:val="center"/>
          </w:tcPr>
          <w:p>
            <w:pPr>
              <w:jc w:val="center"/>
              <w:rPr>
                <w:rFonts w:ascii="Times New Roman" w:hAnsi="Times New Roman" w:eastAsia="仿宋" w:cs="仿宋"/>
                <w:kern w:val="0"/>
                <w:szCs w:val="21"/>
                <w:highlight w:val="yellow"/>
              </w:rPr>
            </w:pPr>
          </w:p>
        </w:tc>
        <w:tc>
          <w:tcPr>
            <w:tcW w:w="382" w:type="dxa"/>
            <w:vMerge w:val="continue"/>
            <w:tcBorders>
              <w:left w:val="single" w:color="auto" w:sz="4"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left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08030005</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hint="eastAsia" w:ascii="Times New Roman" w:hAnsi="Times New Roman" w:eastAsia="仿宋" w:cs="仿宋"/>
                <w:szCs w:val="21"/>
              </w:rPr>
              <w:t>导波光学</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32</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考试</w:t>
            </w:r>
          </w:p>
          <w:p>
            <w:pPr>
              <w:jc w:val="center"/>
              <w:rPr>
                <w:rFonts w:ascii="Times New Roman" w:hAnsi="Times New Roman" w:eastAsia="仿宋" w:cs="仿宋"/>
                <w:sz w:val="20"/>
              </w:rPr>
            </w:pPr>
          </w:p>
        </w:tc>
        <w:tc>
          <w:tcPr>
            <w:tcW w:w="813" w:type="dxa"/>
            <w:vMerge w:val="continue"/>
            <w:tcBorders>
              <w:left w:val="single" w:color="auto" w:sz="6" w:space="0"/>
              <w:bottom w:val="single" w:color="auto" w:sz="4" w:space="0"/>
              <w:right w:val="single" w:color="auto" w:sz="4" w:space="0"/>
            </w:tcBorders>
            <w:vAlign w:val="center"/>
          </w:tcPr>
          <w:p>
            <w:pPr>
              <w:jc w:val="center"/>
              <w:rPr>
                <w:rFonts w:ascii="Times New Roman" w:hAnsi="Times New Roman" w:eastAsia="仿宋" w:cs="仿宋"/>
                <w:kern w:val="0"/>
                <w:szCs w:val="21"/>
                <w:highlight w:val="yellow"/>
              </w:rPr>
            </w:pPr>
          </w:p>
        </w:tc>
        <w:tc>
          <w:tcPr>
            <w:tcW w:w="382" w:type="dxa"/>
            <w:vMerge w:val="continue"/>
            <w:tcBorders>
              <w:left w:val="single" w:color="auto" w:sz="4"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left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ascii="Times New Roman" w:hAnsi="Times New Roman" w:eastAsia="仿宋"/>
                <w:kern w:val="0"/>
                <w:szCs w:val="21"/>
              </w:rPr>
              <w:t>08634003</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ascii="Times New Roman" w:hAnsi="Times New Roman" w:eastAsia="仿宋"/>
                <w:kern w:val="0"/>
                <w:szCs w:val="21"/>
              </w:rPr>
              <w:t>数字图像处理</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32</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考试</w:t>
            </w:r>
          </w:p>
        </w:tc>
        <w:tc>
          <w:tcPr>
            <w:tcW w:w="813" w:type="dxa"/>
            <w:vMerge w:val="restart"/>
            <w:tcBorders>
              <w:top w:val="single" w:color="auto" w:sz="4" w:space="0"/>
              <w:left w:val="single" w:color="auto" w:sz="6" w:space="0"/>
              <w:right w:val="single" w:color="auto" w:sz="4" w:space="0"/>
            </w:tcBorders>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w:t>
            </w:r>
            <w:r>
              <w:rPr>
                <w:rFonts w:ascii="Times New Roman" w:hAnsi="Times New Roman" w:eastAsia="仿宋" w:cs="仿宋"/>
                <w:kern w:val="0"/>
                <w:szCs w:val="21"/>
              </w:rPr>
              <w:t>3</w:t>
            </w:r>
          </w:p>
          <w:p>
            <w:pPr>
              <w:jc w:val="center"/>
              <w:rPr>
                <w:rFonts w:ascii="Times New Roman" w:hAnsi="Times New Roman" w:eastAsia="仿宋" w:cs="仿宋"/>
                <w:kern w:val="0"/>
                <w:szCs w:val="21"/>
                <w:highlight w:val="yellow"/>
              </w:rPr>
            </w:pPr>
            <w:r>
              <w:rPr>
                <w:rFonts w:hint="eastAsia" w:ascii="Times New Roman" w:hAnsi="Times New Roman" w:eastAsia="仿宋" w:cs="仿宋"/>
                <w:kern w:val="0"/>
                <w:szCs w:val="21"/>
              </w:rPr>
              <w:t>方向</w:t>
            </w:r>
          </w:p>
        </w:tc>
        <w:tc>
          <w:tcPr>
            <w:tcW w:w="382" w:type="dxa"/>
            <w:vMerge w:val="continue"/>
            <w:tcBorders>
              <w:left w:val="single" w:color="auto" w:sz="4"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left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ascii="Times New Roman" w:hAnsi="Times New Roman" w:eastAsia="仿宋"/>
                <w:kern w:val="0"/>
                <w:szCs w:val="21"/>
              </w:rPr>
              <w:t>08634004</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ascii="Times New Roman" w:hAnsi="Times New Roman" w:eastAsia="仿宋"/>
                <w:kern w:val="0"/>
                <w:szCs w:val="21"/>
              </w:rPr>
              <w:t>光电检测及其信号处理</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32</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考试</w:t>
            </w:r>
          </w:p>
        </w:tc>
        <w:tc>
          <w:tcPr>
            <w:tcW w:w="813" w:type="dxa"/>
            <w:vMerge w:val="continue"/>
            <w:tcBorders>
              <w:left w:val="single" w:color="auto" w:sz="6" w:space="0"/>
              <w:right w:val="single" w:color="auto" w:sz="4" w:space="0"/>
            </w:tcBorders>
            <w:vAlign w:val="center"/>
          </w:tcPr>
          <w:p>
            <w:pPr>
              <w:jc w:val="center"/>
              <w:rPr>
                <w:rFonts w:ascii="Times New Roman" w:hAnsi="Times New Roman" w:eastAsia="仿宋" w:cs="仿宋"/>
                <w:kern w:val="0"/>
                <w:szCs w:val="21"/>
              </w:rPr>
            </w:pPr>
          </w:p>
        </w:tc>
        <w:tc>
          <w:tcPr>
            <w:tcW w:w="382" w:type="dxa"/>
            <w:vMerge w:val="continue"/>
            <w:tcBorders>
              <w:left w:val="single" w:color="auto" w:sz="4"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left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ascii="Times New Roman" w:hAnsi="Times New Roman" w:eastAsia="仿宋"/>
                <w:kern w:val="0"/>
                <w:szCs w:val="21"/>
              </w:rPr>
              <w:t>08634005</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ascii="Times New Roman" w:hAnsi="Times New Roman" w:eastAsia="仿宋"/>
                <w:kern w:val="0"/>
                <w:szCs w:val="21"/>
              </w:rPr>
              <w:t>图像传感器技术</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32</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考试</w:t>
            </w:r>
          </w:p>
        </w:tc>
        <w:tc>
          <w:tcPr>
            <w:tcW w:w="813" w:type="dxa"/>
            <w:vMerge w:val="continue"/>
            <w:tcBorders>
              <w:left w:val="single" w:color="auto" w:sz="6" w:space="0"/>
              <w:right w:val="single" w:color="auto" w:sz="4" w:space="0"/>
            </w:tcBorders>
            <w:vAlign w:val="center"/>
          </w:tcPr>
          <w:p>
            <w:pPr>
              <w:jc w:val="center"/>
              <w:rPr>
                <w:rFonts w:ascii="Times New Roman" w:hAnsi="Times New Roman" w:eastAsia="仿宋" w:cs="仿宋"/>
                <w:kern w:val="0"/>
                <w:szCs w:val="21"/>
              </w:rPr>
            </w:pPr>
          </w:p>
        </w:tc>
        <w:tc>
          <w:tcPr>
            <w:tcW w:w="382" w:type="dxa"/>
            <w:vMerge w:val="continue"/>
            <w:tcBorders>
              <w:left w:val="single" w:color="auto" w:sz="4"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left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ascii="Times New Roman" w:hAnsi="Times New Roman" w:eastAsia="仿宋"/>
                <w:kern w:val="0"/>
                <w:szCs w:val="21"/>
              </w:rPr>
              <w:t>08634006</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ascii="Times New Roman" w:hAnsi="Times New Roman" w:eastAsia="仿宋"/>
                <w:kern w:val="0"/>
                <w:szCs w:val="21"/>
              </w:rPr>
              <w:t>先进光纤器件及其传感系统</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32</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考试</w:t>
            </w:r>
          </w:p>
        </w:tc>
        <w:tc>
          <w:tcPr>
            <w:tcW w:w="813" w:type="dxa"/>
            <w:vMerge w:val="continue"/>
            <w:tcBorders>
              <w:left w:val="single" w:color="auto" w:sz="6" w:space="0"/>
              <w:right w:val="single" w:color="auto" w:sz="4" w:space="0"/>
            </w:tcBorders>
            <w:vAlign w:val="center"/>
          </w:tcPr>
          <w:p>
            <w:pPr>
              <w:jc w:val="center"/>
              <w:rPr>
                <w:rFonts w:ascii="Times New Roman" w:hAnsi="Times New Roman" w:eastAsia="仿宋" w:cs="仿宋"/>
                <w:kern w:val="0"/>
                <w:szCs w:val="21"/>
              </w:rPr>
            </w:pPr>
          </w:p>
        </w:tc>
        <w:tc>
          <w:tcPr>
            <w:tcW w:w="382" w:type="dxa"/>
            <w:vMerge w:val="continue"/>
            <w:tcBorders>
              <w:left w:val="single" w:color="auto" w:sz="4"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57" w:hRule="exact"/>
          <w:jc w:val="center"/>
        </w:trPr>
        <w:tc>
          <w:tcPr>
            <w:tcW w:w="420" w:type="dxa"/>
            <w:vMerge w:val="restart"/>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r>
              <w:rPr>
                <w:rFonts w:hint="eastAsia" w:ascii="Times New Roman" w:hAnsi="Times New Roman" w:eastAsia="仿宋" w:cs="仿宋"/>
                <w:kern w:val="0"/>
                <w:szCs w:val="21"/>
              </w:rPr>
              <w:t>非学位课</w:t>
            </w:r>
          </w:p>
        </w:tc>
        <w:tc>
          <w:tcPr>
            <w:tcW w:w="965"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选</w:t>
            </w:r>
          </w:p>
          <w:p>
            <w:pPr>
              <w:jc w:val="center"/>
              <w:rPr>
                <w:rFonts w:ascii="Times New Roman" w:hAnsi="Times New Roman" w:eastAsia="仿宋" w:cs="仿宋"/>
                <w:kern w:val="0"/>
                <w:szCs w:val="21"/>
              </w:rPr>
            </w:pPr>
            <w:r>
              <w:rPr>
                <w:rFonts w:hint="eastAsia" w:ascii="Times New Roman" w:hAnsi="Times New Roman" w:eastAsia="仿宋" w:cs="仿宋"/>
                <w:kern w:val="0"/>
                <w:szCs w:val="21"/>
              </w:rPr>
              <w:t>修</w:t>
            </w:r>
          </w:p>
          <w:p>
            <w:pPr>
              <w:jc w:val="center"/>
              <w:rPr>
                <w:rFonts w:ascii="Times New Roman" w:hAnsi="Times New Roman" w:eastAsia="仿宋" w:cs="仿宋"/>
                <w:kern w:val="0"/>
                <w:szCs w:val="21"/>
              </w:rPr>
            </w:pPr>
            <w:r>
              <w:rPr>
                <w:rFonts w:hint="eastAsia" w:ascii="Times New Roman" w:hAnsi="Times New Roman" w:eastAsia="仿宋" w:cs="仿宋"/>
                <w:kern w:val="0"/>
                <w:szCs w:val="21"/>
              </w:rPr>
              <w:t>课</w:t>
            </w: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pacing w:val="-20"/>
                <w:szCs w:val="21"/>
              </w:rPr>
            </w:pPr>
            <w:r>
              <w:rPr>
                <w:rFonts w:hint="eastAsia" w:ascii="Times New Roman" w:hAnsi="Times New Roman" w:eastAsia="仿宋" w:cs="仿宋"/>
                <w:spacing w:val="-20"/>
                <w:szCs w:val="21"/>
              </w:rPr>
              <w:t>公选课：详见校研究生公共选修课目录</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32</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sz w:val="20"/>
              </w:rPr>
              <w:t>考试</w:t>
            </w:r>
          </w:p>
        </w:tc>
        <w:tc>
          <w:tcPr>
            <w:tcW w:w="1195" w:type="dxa"/>
            <w:gridSpan w:val="2"/>
            <w:tcBorders>
              <w:top w:val="single" w:color="auto" w:sz="6" w:space="0"/>
              <w:left w:val="single" w:color="auto" w:sz="6" w:space="0"/>
              <w:bottom w:val="single" w:color="auto" w:sz="6" w:space="0"/>
              <w:right w:val="double" w:color="auto" w:sz="4" w:space="0"/>
            </w:tcBorders>
            <w:tcMar>
              <w:top w:w="0" w:type="dxa"/>
              <w:left w:w="0" w:type="dxa"/>
              <w:bottom w:w="0" w:type="dxa"/>
              <w:right w:w="0"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2学分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08030006</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hint="eastAsia" w:ascii="Times New Roman" w:hAnsi="Times New Roman" w:eastAsia="仿宋" w:cs="仿宋"/>
                <w:szCs w:val="21"/>
              </w:rPr>
              <w:t>现代光学测试技术</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48</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3</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考试</w:t>
            </w:r>
          </w:p>
        </w:tc>
        <w:tc>
          <w:tcPr>
            <w:tcW w:w="1195" w:type="dxa"/>
            <w:gridSpan w:val="2"/>
            <w:vMerge w:val="restart"/>
            <w:tcBorders>
              <w:top w:val="single" w:color="auto" w:sz="6" w:space="0"/>
              <w:left w:val="single" w:color="auto" w:sz="6" w:space="0"/>
              <w:right w:val="double" w:color="auto" w:sz="4" w:space="0"/>
            </w:tcBorders>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至少</w:t>
            </w:r>
          </w:p>
          <w:p>
            <w:pPr>
              <w:jc w:val="center"/>
              <w:rPr>
                <w:rFonts w:ascii="Times New Roman" w:hAnsi="Times New Roman" w:eastAsia="仿宋" w:cs="仿宋"/>
                <w:kern w:val="0"/>
                <w:szCs w:val="21"/>
              </w:rPr>
            </w:pPr>
            <w:r>
              <w:rPr>
                <w:rFonts w:hint="eastAsia" w:ascii="Times New Roman" w:hAnsi="Times New Roman" w:eastAsia="仿宋" w:cs="仿宋"/>
                <w:kern w:val="0"/>
                <w:szCs w:val="21"/>
              </w:rPr>
              <w:t>7学分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4"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08030008</w:t>
            </w:r>
          </w:p>
        </w:tc>
        <w:tc>
          <w:tcPr>
            <w:tcW w:w="3254" w:type="dxa"/>
            <w:tcBorders>
              <w:top w:val="single" w:color="auto" w:sz="6" w:space="0"/>
              <w:left w:val="single" w:color="auto" w:sz="6" w:space="0"/>
              <w:bottom w:val="single" w:color="auto" w:sz="4"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信息光学</w:t>
            </w:r>
          </w:p>
        </w:tc>
        <w:tc>
          <w:tcPr>
            <w:tcW w:w="567"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Cs w:val="21"/>
              </w:rPr>
            </w:pPr>
            <w:r>
              <w:rPr>
                <w:rFonts w:hint="eastAsia" w:ascii="Times New Roman" w:hAnsi="Times New Roman" w:eastAsia="仿宋" w:cs="仿宋"/>
                <w:szCs w:val="21"/>
              </w:rPr>
              <w:t>48</w:t>
            </w:r>
          </w:p>
        </w:tc>
        <w:tc>
          <w:tcPr>
            <w:tcW w:w="519"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Cs w:val="21"/>
              </w:rPr>
            </w:pPr>
            <w:r>
              <w:rPr>
                <w:rFonts w:hint="eastAsia" w:ascii="Times New Roman" w:hAnsi="Times New Roman" w:eastAsia="仿宋" w:cs="仿宋"/>
                <w:szCs w:val="21"/>
              </w:rPr>
              <w:t>3</w:t>
            </w:r>
          </w:p>
        </w:tc>
        <w:tc>
          <w:tcPr>
            <w:tcW w:w="440"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szCs w:val="21"/>
              </w:rPr>
              <w:t>考试</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4" w:space="0"/>
              <w:left w:val="single" w:color="auto" w:sz="6" w:space="0"/>
              <w:bottom w:val="single" w:color="auto" w:sz="4"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08030009</w:t>
            </w:r>
          </w:p>
        </w:tc>
        <w:tc>
          <w:tcPr>
            <w:tcW w:w="3254" w:type="dxa"/>
            <w:tcBorders>
              <w:top w:val="single" w:color="auto" w:sz="4" w:space="0"/>
              <w:left w:val="single" w:color="auto" w:sz="6" w:space="0"/>
              <w:bottom w:val="single" w:color="auto" w:sz="4" w:space="0"/>
              <w:right w:val="single" w:color="auto" w:sz="6" w:space="0"/>
            </w:tcBorders>
            <w:noWrap/>
            <w:vAlign w:val="center"/>
          </w:tcPr>
          <w:p>
            <w:pPr>
              <w:jc w:val="center"/>
              <w:rPr>
                <w:rFonts w:ascii="Times New Roman" w:hAnsi="Times New Roman" w:eastAsia="仿宋" w:cs="仿宋"/>
                <w:szCs w:val="21"/>
              </w:rPr>
            </w:pPr>
            <w:r>
              <w:rPr>
                <w:rFonts w:hint="eastAsia" w:ascii="Times New Roman" w:hAnsi="Times New Roman" w:eastAsia="仿宋" w:cs="仿宋"/>
                <w:szCs w:val="21"/>
              </w:rPr>
              <w:t>光电技术</w:t>
            </w:r>
          </w:p>
        </w:tc>
        <w:tc>
          <w:tcPr>
            <w:tcW w:w="567" w:type="dxa"/>
            <w:tcBorders>
              <w:top w:val="single" w:color="auto" w:sz="4"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48</w:t>
            </w:r>
          </w:p>
        </w:tc>
        <w:tc>
          <w:tcPr>
            <w:tcW w:w="519" w:type="dxa"/>
            <w:tcBorders>
              <w:top w:val="single" w:color="auto" w:sz="4"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3</w:t>
            </w:r>
          </w:p>
        </w:tc>
        <w:tc>
          <w:tcPr>
            <w:tcW w:w="440" w:type="dxa"/>
            <w:tcBorders>
              <w:top w:val="single" w:color="auto" w:sz="4"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4"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4"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4"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sz w:val="20"/>
              </w:rPr>
              <w:t>考试</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4"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08030010</w:t>
            </w:r>
          </w:p>
        </w:tc>
        <w:tc>
          <w:tcPr>
            <w:tcW w:w="3254" w:type="dxa"/>
            <w:tcBorders>
              <w:top w:val="single" w:color="auto" w:sz="6" w:space="0"/>
              <w:left w:val="single" w:color="auto" w:sz="6" w:space="0"/>
              <w:bottom w:val="single" w:color="auto" w:sz="4" w:space="0"/>
              <w:right w:val="single" w:color="auto" w:sz="6" w:space="0"/>
            </w:tcBorders>
            <w:noWrap/>
            <w:vAlign w:val="center"/>
          </w:tcPr>
          <w:p>
            <w:pPr>
              <w:jc w:val="center"/>
              <w:rPr>
                <w:rFonts w:ascii="Times New Roman" w:hAnsi="Times New Roman" w:eastAsia="仿宋" w:cs="仿宋"/>
                <w:szCs w:val="21"/>
              </w:rPr>
            </w:pPr>
            <w:r>
              <w:rPr>
                <w:rFonts w:hint="eastAsia" w:ascii="Times New Roman" w:hAnsi="Times New Roman" w:eastAsia="仿宋" w:cs="仿宋"/>
                <w:szCs w:val="21"/>
              </w:rPr>
              <w:t>光学系统设计</w:t>
            </w:r>
          </w:p>
        </w:tc>
        <w:tc>
          <w:tcPr>
            <w:tcW w:w="567"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32</w:t>
            </w:r>
          </w:p>
        </w:tc>
        <w:tc>
          <w:tcPr>
            <w:tcW w:w="519"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2</w:t>
            </w:r>
          </w:p>
        </w:tc>
        <w:tc>
          <w:tcPr>
            <w:tcW w:w="440"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szCs w:val="21"/>
              </w:rPr>
              <w:t>考试</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4"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08030011</w:t>
            </w:r>
          </w:p>
        </w:tc>
        <w:tc>
          <w:tcPr>
            <w:tcW w:w="3254" w:type="dxa"/>
            <w:tcBorders>
              <w:top w:val="single" w:color="auto" w:sz="6" w:space="0"/>
              <w:left w:val="single" w:color="auto" w:sz="6" w:space="0"/>
              <w:bottom w:val="single" w:color="auto" w:sz="4" w:space="0"/>
              <w:right w:val="single" w:color="auto" w:sz="6" w:space="0"/>
            </w:tcBorders>
            <w:noWrap/>
            <w:vAlign w:val="center"/>
          </w:tcPr>
          <w:p>
            <w:pPr>
              <w:jc w:val="center"/>
              <w:rPr>
                <w:rFonts w:ascii="Times New Roman" w:hAnsi="Times New Roman" w:eastAsia="仿宋" w:cs="仿宋"/>
                <w:szCs w:val="21"/>
              </w:rPr>
            </w:pPr>
            <w:r>
              <w:rPr>
                <w:rFonts w:hint="eastAsia" w:ascii="Times New Roman" w:hAnsi="Times New Roman" w:eastAsia="仿宋" w:cs="仿宋"/>
                <w:szCs w:val="21"/>
              </w:rPr>
              <w:t>非线性光学</w:t>
            </w:r>
          </w:p>
        </w:tc>
        <w:tc>
          <w:tcPr>
            <w:tcW w:w="567"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48</w:t>
            </w:r>
          </w:p>
        </w:tc>
        <w:tc>
          <w:tcPr>
            <w:tcW w:w="519"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3</w:t>
            </w:r>
          </w:p>
        </w:tc>
        <w:tc>
          <w:tcPr>
            <w:tcW w:w="440"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szCs w:val="21"/>
              </w:rPr>
              <w:t>考试</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08030012</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hint="eastAsia" w:ascii="Times New Roman" w:hAnsi="Times New Roman" w:eastAsia="仿宋" w:cs="仿宋"/>
                <w:szCs w:val="21"/>
              </w:rPr>
              <w:t>光学材料</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48</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3</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sz w:val="20"/>
              </w:rPr>
              <w:t>考试</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08030013</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hint="eastAsia" w:ascii="Times New Roman" w:hAnsi="Times New Roman" w:eastAsia="仿宋" w:cs="仿宋"/>
                <w:szCs w:val="21"/>
              </w:rPr>
              <w:t>图像处理技术</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48</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3</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sz w:val="20"/>
              </w:rPr>
              <w:t>考试</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08030014</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光子晶体</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32</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考试</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08030015</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hint="eastAsia" w:ascii="Times New Roman" w:hAnsi="Times New Roman" w:eastAsia="仿宋" w:cs="仿宋"/>
                <w:szCs w:val="21"/>
              </w:rPr>
              <w:t>光学精密制造</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32</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考试</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08030016</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hint="eastAsia" w:ascii="Times New Roman" w:hAnsi="Times New Roman" w:eastAsia="仿宋" w:cs="仿宋"/>
                <w:szCs w:val="21"/>
              </w:rPr>
              <w:t>高等激光技术</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32</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考试</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08030017</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hint="eastAsia" w:ascii="Times New Roman" w:hAnsi="Times New Roman" w:eastAsia="仿宋" w:cs="仿宋"/>
                <w:szCs w:val="21"/>
              </w:rPr>
              <w:t>量子光学</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32</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hint="eastAsia" w:ascii="Times New Roman" w:hAnsi="Times New Roman" w:eastAsia="仿宋" w:cs="仿宋"/>
                <w:sz w:val="20"/>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w:t>
            </w: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考试</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ascii="Times New Roman" w:hAnsi="Times New Roman" w:eastAsia="仿宋"/>
                <w:kern w:val="0"/>
                <w:szCs w:val="21"/>
              </w:rPr>
              <w:t>0852401</w:t>
            </w:r>
            <w:r>
              <w:rPr>
                <w:rFonts w:hint="eastAsia" w:ascii="Times New Roman" w:hAnsi="Times New Roman" w:eastAsia="仿宋"/>
                <w:kern w:val="0"/>
                <w:szCs w:val="21"/>
              </w:rPr>
              <w:t>2</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ascii="Times New Roman" w:hAnsi="Times New Roman" w:eastAsia="仿宋"/>
                <w:kern w:val="0"/>
                <w:szCs w:val="21"/>
              </w:rPr>
              <w:t>机器学习</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32</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考查</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ascii="Times New Roman" w:hAnsi="Times New Roman" w:eastAsia="仿宋"/>
                <w:kern w:val="0"/>
                <w:szCs w:val="21"/>
              </w:rPr>
              <w:t>08524013</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ascii="Times New Roman" w:hAnsi="Times New Roman" w:eastAsia="仿宋"/>
              </w:rPr>
              <w:t>人工智能与知识工程</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32</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考查</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ascii="Times New Roman" w:hAnsi="Times New Roman" w:eastAsia="仿宋"/>
                <w:kern w:val="0"/>
                <w:szCs w:val="21"/>
              </w:rPr>
              <w:t>08634009</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ascii="Times New Roman" w:hAnsi="Times New Roman" w:eastAsia="仿宋"/>
                <w:kern w:val="0"/>
                <w:szCs w:val="21"/>
              </w:rPr>
              <w:t>光学工程前沿研究专题</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16</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1</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考查</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kern w:val="0"/>
                <w:szCs w:val="21"/>
              </w:rPr>
            </w:pPr>
            <w:r>
              <w:rPr>
                <w:rFonts w:ascii="Times New Roman" w:hAnsi="Times New Roman" w:eastAsia="仿宋"/>
                <w:kern w:val="0"/>
                <w:szCs w:val="21"/>
              </w:rPr>
              <w:t>08634010</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kern w:val="0"/>
                <w:szCs w:val="21"/>
              </w:rPr>
            </w:pPr>
            <w:r>
              <w:rPr>
                <w:rFonts w:ascii="Times New Roman" w:hAnsi="Times New Roman" w:eastAsia="仿宋"/>
                <w:kern w:val="0"/>
                <w:szCs w:val="21"/>
              </w:rPr>
              <w:t>DSP与数字系统设计</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kern w:val="0"/>
                <w:szCs w:val="21"/>
              </w:rPr>
            </w:pPr>
            <w:r>
              <w:rPr>
                <w:rFonts w:ascii="Times New Roman" w:hAnsi="Times New Roman" w:eastAsia="仿宋"/>
                <w:kern w:val="0"/>
                <w:szCs w:val="21"/>
              </w:rPr>
              <w:t>48</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kern w:val="0"/>
                <w:szCs w:val="21"/>
              </w:rPr>
            </w:pPr>
            <w:r>
              <w:rPr>
                <w:rFonts w:ascii="Times New Roman" w:hAnsi="Times New Roman" w:eastAsia="仿宋"/>
                <w:kern w:val="0"/>
                <w:szCs w:val="21"/>
              </w:rPr>
              <w:t>3</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kern w:val="0"/>
                <w:szCs w:val="21"/>
              </w:rPr>
            </w:pPr>
            <w:r>
              <w:rPr>
                <w:rFonts w:ascii="Times New Roman" w:hAnsi="Times New Roman" w:eastAsia="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kern w:val="0"/>
                <w:szCs w:val="21"/>
              </w:rPr>
            </w:pPr>
            <w:r>
              <w:rPr>
                <w:rFonts w:ascii="Times New Roman" w:hAnsi="Times New Roman" w:eastAsia="仿宋"/>
                <w:kern w:val="0"/>
                <w:szCs w:val="21"/>
              </w:rPr>
              <w:t xml:space="preserve"> </w:t>
            </w: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kern w:val="0"/>
                <w:szCs w:val="21"/>
              </w:rPr>
            </w:pPr>
            <w:r>
              <w:rPr>
                <w:rFonts w:ascii="Times New Roman" w:hAnsi="Times New Roman" w:eastAsia="仿宋"/>
                <w:kern w:val="0"/>
                <w:szCs w:val="21"/>
              </w:rPr>
              <w:t>考试</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ascii="Times New Roman" w:hAnsi="Times New Roman" w:eastAsia="仿宋"/>
                <w:kern w:val="0"/>
                <w:szCs w:val="21"/>
              </w:rPr>
              <w:t>08634011</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ascii="Times New Roman" w:hAnsi="Times New Roman" w:eastAsia="仿宋"/>
                <w:kern w:val="0"/>
                <w:szCs w:val="21"/>
              </w:rPr>
              <w:t>嵌入式系统与控制技术</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48</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3</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考试</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ascii="Times New Roman" w:hAnsi="Times New Roman" w:eastAsia="仿宋"/>
                <w:kern w:val="0"/>
                <w:szCs w:val="21"/>
              </w:rPr>
              <w:t>08634012　</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ascii="Times New Roman" w:hAnsi="Times New Roman" w:eastAsia="仿宋"/>
                <w:kern w:val="0"/>
                <w:szCs w:val="21"/>
              </w:rPr>
              <w:t>光电子器件测试实验</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16</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0.5</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考查</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kern w:val="0"/>
                <w:szCs w:val="21"/>
              </w:rPr>
            </w:pPr>
            <w:r>
              <w:rPr>
                <w:rFonts w:ascii="Times New Roman" w:hAnsi="Times New Roman" w:eastAsia="仿宋"/>
                <w:kern w:val="0"/>
                <w:szCs w:val="21"/>
              </w:rPr>
              <w:t>08634013</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kern w:val="0"/>
                <w:szCs w:val="21"/>
              </w:rPr>
            </w:pPr>
            <w:r>
              <w:rPr>
                <w:rFonts w:ascii="Times New Roman" w:hAnsi="Times New Roman" w:eastAsia="仿宋"/>
                <w:kern w:val="0"/>
                <w:szCs w:val="21"/>
              </w:rPr>
              <w:t>光电显示技术</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kern w:val="0"/>
                <w:szCs w:val="21"/>
              </w:rPr>
            </w:pPr>
            <w:r>
              <w:rPr>
                <w:rFonts w:ascii="Times New Roman" w:hAnsi="Times New Roman" w:eastAsia="仿宋"/>
                <w:kern w:val="0"/>
                <w:szCs w:val="21"/>
              </w:rPr>
              <w:t>32</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kern w:val="0"/>
                <w:szCs w:val="21"/>
              </w:rPr>
            </w:pPr>
            <w:r>
              <w:rPr>
                <w:rFonts w:ascii="Times New Roman" w:hAnsi="Times New Roman" w:eastAsia="仿宋"/>
                <w:kern w:val="0"/>
                <w:szCs w:val="21"/>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w:t>
            </w: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kern w:val="0"/>
                <w:szCs w:val="21"/>
              </w:rPr>
            </w:pPr>
            <w:r>
              <w:rPr>
                <w:rFonts w:ascii="Times New Roman" w:hAnsi="Times New Roman" w:eastAsia="仿宋"/>
                <w:kern w:val="0"/>
                <w:szCs w:val="21"/>
              </w:rPr>
              <w:t>考试</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kern w:val="0"/>
                <w:szCs w:val="21"/>
              </w:rPr>
            </w:pPr>
            <w:r>
              <w:rPr>
                <w:rFonts w:ascii="Times New Roman" w:hAnsi="Times New Roman" w:eastAsia="仿宋"/>
                <w:kern w:val="0"/>
                <w:szCs w:val="21"/>
              </w:rPr>
              <w:t>08634014</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kern w:val="0"/>
                <w:szCs w:val="21"/>
              </w:rPr>
            </w:pPr>
            <w:r>
              <w:rPr>
                <w:rFonts w:ascii="Times New Roman" w:hAnsi="Times New Roman" w:eastAsia="仿宋"/>
                <w:kern w:val="0"/>
                <w:szCs w:val="21"/>
              </w:rPr>
              <w:t>光纤通信网络</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kern w:val="0"/>
                <w:szCs w:val="21"/>
              </w:rPr>
            </w:pPr>
            <w:r>
              <w:rPr>
                <w:rFonts w:ascii="Times New Roman" w:hAnsi="Times New Roman" w:eastAsia="仿宋"/>
                <w:kern w:val="0"/>
                <w:szCs w:val="21"/>
              </w:rPr>
              <w:t>32</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kern w:val="0"/>
                <w:szCs w:val="21"/>
              </w:rPr>
            </w:pPr>
            <w:r>
              <w:rPr>
                <w:rFonts w:ascii="Times New Roman" w:hAnsi="Times New Roman" w:eastAsia="仿宋"/>
                <w:kern w:val="0"/>
                <w:szCs w:val="21"/>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w:t>
            </w: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kern w:val="0"/>
                <w:szCs w:val="21"/>
              </w:rPr>
            </w:pPr>
            <w:r>
              <w:rPr>
                <w:rFonts w:ascii="Times New Roman" w:hAnsi="Times New Roman" w:eastAsia="仿宋"/>
                <w:kern w:val="0"/>
                <w:szCs w:val="21"/>
              </w:rPr>
              <w:t>考试</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left w:val="single" w:color="auto" w:sz="6"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ascii="Times New Roman" w:hAnsi="Times New Roman" w:eastAsia="仿宋"/>
                <w:kern w:val="0"/>
                <w:szCs w:val="21"/>
              </w:rPr>
              <w:t>08634015</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szCs w:val="21"/>
              </w:rPr>
            </w:pPr>
            <w:r>
              <w:rPr>
                <w:rFonts w:ascii="Times New Roman" w:hAnsi="Times New Roman" w:eastAsia="仿宋"/>
                <w:kern w:val="0"/>
                <w:szCs w:val="21"/>
              </w:rPr>
              <w:t>集成光子学与光电子学</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32</w:t>
            </w: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sz w:val="20"/>
              </w:rPr>
            </w:pPr>
            <w:r>
              <w:rPr>
                <w:rFonts w:ascii="Times New Roman" w:hAnsi="Times New Roman" w:eastAsia="仿宋"/>
                <w:kern w:val="0"/>
                <w:szCs w:val="21"/>
              </w:rPr>
              <w:t>2</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w:t>
            </w: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ascii="Times New Roman" w:hAnsi="Times New Roman" w:eastAsia="仿宋"/>
                <w:kern w:val="0"/>
                <w:szCs w:val="21"/>
              </w:rPr>
              <w:t>考试</w:t>
            </w:r>
          </w:p>
        </w:tc>
        <w:tc>
          <w:tcPr>
            <w:tcW w:w="1195" w:type="dxa"/>
            <w:gridSpan w:val="2"/>
            <w:vMerge w:val="continue"/>
            <w:tcBorders>
              <w:left w:val="single" w:color="auto" w:sz="6" w:space="0"/>
              <w:right w:val="double" w:color="auto" w:sz="4" w:space="0"/>
            </w:tcBorders>
            <w:vAlign w:val="center"/>
          </w:tcPr>
          <w:p>
            <w:pPr>
              <w:jc w:val="center"/>
              <w:rPr>
                <w:rFonts w:ascii="Times New Roman" w:hAnsi="Times New Roman"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restart"/>
            <w:tcBorders>
              <w:top w:val="single" w:color="auto" w:sz="6" w:space="0"/>
              <w:left w:val="single" w:color="auto" w:sz="6" w:space="0"/>
              <w:bottom w:val="double" w:color="auto" w:sz="4" w:space="0"/>
              <w:right w:val="single" w:color="auto" w:sz="6" w:space="0"/>
            </w:tcBorders>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必修</w:t>
            </w:r>
          </w:p>
          <w:p>
            <w:pPr>
              <w:jc w:val="center"/>
              <w:rPr>
                <w:rFonts w:ascii="Times New Roman" w:hAnsi="Times New Roman" w:eastAsia="仿宋" w:cs="仿宋"/>
                <w:kern w:val="0"/>
                <w:szCs w:val="21"/>
              </w:rPr>
            </w:pPr>
            <w:r>
              <w:rPr>
                <w:rFonts w:hint="eastAsia" w:ascii="Times New Roman" w:hAnsi="Times New Roman" w:eastAsia="仿宋" w:cs="仿宋"/>
                <w:kern w:val="0"/>
                <w:szCs w:val="21"/>
              </w:rPr>
              <w:t>环节</w:t>
            </w:r>
          </w:p>
        </w:tc>
        <w:tc>
          <w:tcPr>
            <w:tcW w:w="118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10332012</w:t>
            </w:r>
          </w:p>
        </w:tc>
        <w:tc>
          <w:tcPr>
            <w:tcW w:w="3254"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学术活动</w:t>
            </w:r>
          </w:p>
        </w:tc>
        <w:tc>
          <w:tcPr>
            <w:tcW w:w="567"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519"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1</w:t>
            </w: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single" w:color="auto" w:sz="6"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考查</w:t>
            </w:r>
          </w:p>
        </w:tc>
        <w:tc>
          <w:tcPr>
            <w:tcW w:w="1195" w:type="dxa"/>
            <w:gridSpan w:val="2"/>
            <w:vMerge w:val="restart"/>
            <w:tcBorders>
              <w:top w:val="single" w:color="auto" w:sz="6" w:space="0"/>
              <w:left w:val="single" w:color="auto" w:sz="6" w:space="0"/>
              <w:bottom w:val="double" w:color="auto" w:sz="4" w:space="0"/>
              <w:right w:val="double" w:color="auto" w:sz="4"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2学分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6" w:space="0"/>
              <w:left w:val="double" w:color="auto" w:sz="4" w:space="0"/>
              <w:bottom w:val="double" w:color="auto" w:sz="4" w:space="0"/>
              <w:right w:val="single" w:color="auto" w:sz="6" w:space="0"/>
            </w:tcBorders>
            <w:vAlign w:val="center"/>
          </w:tcPr>
          <w:p>
            <w:pPr>
              <w:spacing w:line="400" w:lineRule="exact"/>
              <w:jc w:val="center"/>
              <w:rPr>
                <w:rFonts w:ascii="Times New Roman" w:hAnsi="Times New Roman" w:eastAsia="仿宋" w:cs="仿宋"/>
                <w:kern w:val="0"/>
                <w:szCs w:val="21"/>
              </w:rPr>
            </w:pPr>
          </w:p>
        </w:tc>
        <w:tc>
          <w:tcPr>
            <w:tcW w:w="965" w:type="dxa"/>
            <w:vMerge w:val="continue"/>
            <w:tcBorders>
              <w:top w:val="single" w:color="auto" w:sz="6" w:space="0"/>
              <w:left w:val="single" w:color="auto" w:sz="6" w:space="0"/>
              <w:bottom w:val="double" w:color="auto" w:sz="4" w:space="0"/>
              <w:right w:val="single" w:color="auto" w:sz="6" w:space="0"/>
            </w:tcBorders>
            <w:vAlign w:val="center"/>
          </w:tcPr>
          <w:p>
            <w:pPr>
              <w:jc w:val="center"/>
              <w:rPr>
                <w:rFonts w:ascii="Times New Roman" w:hAnsi="Times New Roman" w:eastAsia="仿宋" w:cs="仿宋"/>
                <w:kern w:val="0"/>
                <w:szCs w:val="21"/>
              </w:rPr>
            </w:pPr>
          </w:p>
        </w:tc>
        <w:tc>
          <w:tcPr>
            <w:tcW w:w="1189" w:type="dxa"/>
            <w:tcBorders>
              <w:top w:val="single" w:color="auto" w:sz="6" w:space="0"/>
              <w:left w:val="single" w:color="auto" w:sz="6" w:space="0"/>
              <w:bottom w:val="double" w:color="auto" w:sz="4"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10332013</w:t>
            </w:r>
          </w:p>
        </w:tc>
        <w:tc>
          <w:tcPr>
            <w:tcW w:w="3254" w:type="dxa"/>
            <w:tcBorders>
              <w:top w:val="single" w:color="auto" w:sz="6" w:space="0"/>
              <w:left w:val="single" w:color="auto" w:sz="6" w:space="0"/>
              <w:bottom w:val="double" w:color="auto" w:sz="4" w:space="0"/>
              <w:right w:val="single" w:color="auto" w:sz="6" w:space="0"/>
            </w:tcBorders>
            <w:noWrap/>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实践活动</w:t>
            </w:r>
          </w:p>
        </w:tc>
        <w:tc>
          <w:tcPr>
            <w:tcW w:w="567" w:type="dxa"/>
            <w:tcBorders>
              <w:top w:val="single" w:color="auto" w:sz="6" w:space="0"/>
              <w:left w:val="single" w:color="auto" w:sz="6" w:space="0"/>
              <w:bottom w:val="doub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519" w:type="dxa"/>
            <w:tcBorders>
              <w:top w:val="single" w:color="auto" w:sz="6" w:space="0"/>
              <w:left w:val="single" w:color="auto" w:sz="6" w:space="0"/>
              <w:bottom w:val="doub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1</w:t>
            </w:r>
          </w:p>
        </w:tc>
        <w:tc>
          <w:tcPr>
            <w:tcW w:w="440" w:type="dxa"/>
            <w:tcBorders>
              <w:top w:val="single" w:color="auto" w:sz="6" w:space="0"/>
              <w:left w:val="single" w:color="auto" w:sz="6" w:space="0"/>
              <w:bottom w:val="doub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doub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440" w:type="dxa"/>
            <w:tcBorders>
              <w:top w:val="single" w:color="auto" w:sz="6" w:space="0"/>
              <w:left w:val="single" w:color="auto" w:sz="6" w:space="0"/>
              <w:bottom w:val="doub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p>
        </w:tc>
        <w:tc>
          <w:tcPr>
            <w:tcW w:w="608" w:type="dxa"/>
            <w:tcBorders>
              <w:top w:val="single" w:color="auto" w:sz="6" w:space="0"/>
              <w:left w:val="single" w:color="auto" w:sz="6" w:space="0"/>
              <w:bottom w:val="double" w:color="auto" w:sz="4" w:space="0"/>
              <w:right w:val="single" w:color="auto" w:sz="6" w:space="0"/>
            </w:tcBorders>
            <w:noWrap/>
            <w:tcMar>
              <w:top w:w="0" w:type="dxa"/>
              <w:left w:w="28" w:type="dxa"/>
              <w:bottom w:w="0" w:type="dxa"/>
              <w:right w:w="28" w:type="dxa"/>
            </w:tcMar>
            <w:vAlign w:val="center"/>
          </w:tcPr>
          <w:p>
            <w:pPr>
              <w:jc w:val="center"/>
              <w:rPr>
                <w:rFonts w:ascii="Times New Roman" w:hAnsi="Times New Roman" w:eastAsia="仿宋" w:cs="仿宋"/>
                <w:kern w:val="0"/>
                <w:szCs w:val="21"/>
              </w:rPr>
            </w:pPr>
            <w:r>
              <w:rPr>
                <w:rFonts w:hint="eastAsia" w:ascii="Times New Roman" w:hAnsi="Times New Roman" w:eastAsia="仿宋" w:cs="仿宋"/>
                <w:kern w:val="0"/>
                <w:szCs w:val="21"/>
              </w:rPr>
              <w:t>考查</w:t>
            </w:r>
          </w:p>
        </w:tc>
        <w:tc>
          <w:tcPr>
            <w:tcW w:w="1195" w:type="dxa"/>
            <w:gridSpan w:val="2"/>
            <w:vMerge w:val="continue"/>
            <w:tcBorders>
              <w:top w:val="single" w:color="auto" w:sz="6" w:space="0"/>
              <w:left w:val="single" w:color="auto" w:sz="6" w:space="0"/>
              <w:bottom w:val="double" w:color="auto" w:sz="4" w:space="0"/>
              <w:right w:val="double" w:color="auto" w:sz="4" w:space="0"/>
            </w:tcBorders>
            <w:vAlign w:val="center"/>
          </w:tcPr>
          <w:p>
            <w:pPr>
              <w:jc w:val="center"/>
              <w:rPr>
                <w:rFonts w:ascii="Times New Roman" w:hAnsi="Times New Roman" w:eastAsia="仿宋" w:cs="仿宋"/>
                <w:kern w:val="0"/>
                <w:szCs w:val="21"/>
              </w:rPr>
            </w:pPr>
          </w:p>
        </w:tc>
      </w:tr>
    </w:tbl>
    <w:p>
      <w:pPr>
        <w:spacing w:line="400" w:lineRule="exact"/>
        <w:ind w:firstLine="482" w:firstLineChars="200"/>
        <w:rPr>
          <w:rFonts w:ascii="Times New Roman" w:hAnsi="Times New Roman" w:eastAsia="仿宋" w:cs="仿宋"/>
          <w:kern w:val="0"/>
          <w:sz w:val="24"/>
        </w:rPr>
      </w:pPr>
      <w:r>
        <w:rPr>
          <w:rFonts w:hint="eastAsia" w:ascii="Times New Roman" w:hAnsi="Times New Roman" w:eastAsia="仿宋" w:cs="仿宋"/>
          <w:b/>
          <w:bCs/>
          <w:kern w:val="0"/>
          <w:sz w:val="24"/>
        </w:rPr>
        <w:t>（二）课程要求</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必修环节包括学术报告、实践活动共</w:t>
      </w:r>
      <w:r>
        <w:rPr>
          <w:rFonts w:hint="eastAsia" w:ascii="Times New Roman" w:hAnsi="Times New Roman" w:eastAsia="仿宋" w:cs="仿宋"/>
          <w:b/>
          <w:bCs/>
          <w:kern w:val="0"/>
          <w:sz w:val="24"/>
        </w:rPr>
        <w:t>2</w:t>
      </w:r>
      <w:r>
        <w:rPr>
          <w:rFonts w:hint="eastAsia" w:ascii="Times New Roman" w:hAnsi="Times New Roman" w:eastAsia="仿宋" w:cs="仿宋"/>
          <w:kern w:val="0"/>
          <w:sz w:val="24"/>
        </w:rPr>
        <w:t>学分。</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学术报告：研究生应积极参加学术研讨和学术报告会，拓宽学术视野，了解学科前沿的发展。学术报告计</w:t>
      </w:r>
      <w:r>
        <w:rPr>
          <w:rFonts w:hint="eastAsia" w:ascii="Times New Roman" w:hAnsi="Times New Roman" w:eastAsia="仿宋" w:cs="仿宋"/>
          <w:b/>
          <w:bCs/>
          <w:kern w:val="0"/>
          <w:sz w:val="24"/>
        </w:rPr>
        <w:t>1</w:t>
      </w:r>
      <w:r>
        <w:rPr>
          <w:rFonts w:hint="eastAsia" w:ascii="Times New Roman" w:hAnsi="Times New Roman" w:eastAsia="仿宋" w:cs="仿宋"/>
          <w:kern w:val="0"/>
          <w:sz w:val="24"/>
        </w:rPr>
        <w:t xml:space="preserve">学分。 </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2. 实践活动：研究生应承担一个学期的助教工作及安排的其它实践活动。实践活动计</w:t>
      </w:r>
      <w:r>
        <w:rPr>
          <w:rFonts w:hint="eastAsia" w:ascii="Times New Roman" w:hAnsi="Times New Roman" w:eastAsia="仿宋" w:cs="仿宋"/>
          <w:b/>
          <w:bCs/>
          <w:kern w:val="0"/>
          <w:sz w:val="24"/>
        </w:rPr>
        <w:t>1</w:t>
      </w:r>
      <w:r>
        <w:rPr>
          <w:rFonts w:hint="eastAsia" w:ascii="Times New Roman" w:hAnsi="Times New Roman" w:eastAsia="仿宋" w:cs="仿宋"/>
          <w:kern w:val="0"/>
          <w:sz w:val="24"/>
        </w:rPr>
        <w:t>学分。</w:t>
      </w:r>
    </w:p>
    <w:p>
      <w:pPr>
        <w:spacing w:line="400" w:lineRule="exact"/>
        <w:ind w:firstLine="482" w:firstLineChars="200"/>
        <w:rPr>
          <w:rFonts w:ascii="Times New Roman" w:hAnsi="Times New Roman" w:eastAsia="仿宋" w:cs="仿宋"/>
          <w:kern w:val="0"/>
          <w:sz w:val="24"/>
        </w:rPr>
      </w:pPr>
      <w:r>
        <w:rPr>
          <w:rFonts w:hint="eastAsia" w:ascii="Times New Roman" w:hAnsi="Times New Roman" w:eastAsia="仿宋" w:cs="仿宋"/>
          <w:b/>
          <w:bCs/>
          <w:kern w:val="0"/>
          <w:sz w:val="24"/>
        </w:rPr>
        <w:t>（三）教学安排</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第一、二、三学期主要是基础课及专业课等的学习，第四学期经中期考核（具体按照《苏州科技大学中期考核办法（试行）》执行）合格后，开展学位论文相关工作。第四、五、六学期主要用于完成学位论文，必修环节（学术活动、实践活动）原则上贯穿于整个学习过程。</w:t>
      </w:r>
    </w:p>
    <w:p>
      <w:pPr>
        <w:spacing w:beforeLines="50" w:afterLines="50" w:line="400" w:lineRule="exact"/>
        <w:rPr>
          <w:rFonts w:ascii="Times New Roman" w:hAnsi="Times New Roman" w:eastAsia="仿宋" w:cs="仿宋"/>
          <w:kern w:val="0"/>
          <w:sz w:val="24"/>
        </w:rPr>
      </w:pPr>
      <w:r>
        <w:rPr>
          <w:rFonts w:hint="eastAsia" w:ascii="Times New Roman" w:hAnsi="Times New Roman" w:eastAsia="仿宋" w:cs="仿宋"/>
          <w:b/>
          <w:bCs/>
          <w:kern w:val="0"/>
          <w:sz w:val="28"/>
          <w:szCs w:val="28"/>
        </w:rPr>
        <w:t>八、学术成果要求</w:t>
      </w:r>
    </w:p>
    <w:p>
      <w:pPr>
        <w:spacing w:line="400" w:lineRule="exact"/>
        <w:ind w:firstLine="482" w:firstLineChars="200"/>
        <w:rPr>
          <w:rFonts w:ascii="Times New Roman" w:hAnsi="Times New Roman" w:eastAsia="仿宋" w:cs="仿宋"/>
          <w:b/>
          <w:kern w:val="0"/>
          <w:sz w:val="24"/>
        </w:rPr>
      </w:pPr>
      <w:r>
        <w:rPr>
          <w:rFonts w:hint="eastAsia" w:ascii="Times New Roman" w:hAnsi="Times New Roman" w:eastAsia="仿宋" w:cs="仿宋"/>
          <w:b/>
          <w:kern w:val="0"/>
          <w:sz w:val="24"/>
        </w:rPr>
        <w:t>（一）研究生在提出学位申请时，其相关学术论文成果须达到如下要求：</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以第一作者在核心期刊上或《苏州科技大学学报》发表（含录用）学术论文至少</w:t>
      </w:r>
      <w:r>
        <w:rPr>
          <w:rFonts w:hint="eastAsia" w:ascii="Times New Roman" w:hAnsi="Times New Roman" w:eastAsia="仿宋" w:cs="仿宋"/>
          <w:b/>
          <w:bCs/>
          <w:kern w:val="0"/>
          <w:sz w:val="24"/>
        </w:rPr>
        <w:t>1</w:t>
      </w:r>
      <w:r>
        <w:rPr>
          <w:rFonts w:hint="eastAsia" w:ascii="Times New Roman" w:hAnsi="Times New Roman" w:eastAsia="仿宋" w:cs="仿宋"/>
          <w:kern w:val="0"/>
          <w:sz w:val="24"/>
        </w:rPr>
        <w:t>篇，发表的学术论文均须以苏州科技大学为第一署名单位。核心期刊是指CSCD核心期刊目录、CSSCI核心期刊目录、北大中文核心期刊要目总览、学科评估指标体系补充期刊被SCI、SCIE、SSCI、EI、A&amp;HCI期刊收录的论文视同在核心期刊上发表。学术论文级别的认定以论文录用当年的适用目录为准；在增刊、专刊、会议论文集发表论文不能作为申请学位的成果材料。</w:t>
      </w:r>
    </w:p>
    <w:p>
      <w:pPr>
        <w:spacing w:line="400" w:lineRule="exact"/>
        <w:ind w:firstLine="482" w:firstLineChars="200"/>
        <w:rPr>
          <w:rFonts w:ascii="Times New Roman" w:hAnsi="Times New Roman" w:eastAsia="仿宋" w:cs="仿宋"/>
          <w:b/>
          <w:kern w:val="0"/>
          <w:sz w:val="24"/>
        </w:rPr>
      </w:pPr>
      <w:r>
        <w:rPr>
          <w:rFonts w:hint="eastAsia" w:ascii="Times New Roman" w:hAnsi="Times New Roman" w:eastAsia="仿宋" w:cs="仿宋"/>
          <w:b/>
          <w:kern w:val="0"/>
          <w:sz w:val="24"/>
        </w:rPr>
        <w:t>（二） 申请学位时，支撑材料要求如下：</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1. 研究生以学术论文形式提出学位申请时，须提交相关学术论文成果的期刊原件（审核后返还）和复印件（包括封面、目录、论文全文、封底），或录用通知单原件和论文稿；对于持“录用通知单”的学术论文，应在该学术论文发表后，补充成果支撑材料，由学院及时汇总归档；</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2. 学术成果存在弄虚作假，或仅以“录用通知单”作为申请学位条件但两年内论文仍未发表的，经校学位评定委员会批准，撤销其已授学位。</w:t>
      </w:r>
    </w:p>
    <w:p>
      <w:pPr>
        <w:spacing w:line="400" w:lineRule="exact"/>
        <w:ind w:firstLine="482" w:firstLineChars="200"/>
        <w:rPr>
          <w:rFonts w:ascii="Times New Roman" w:hAnsi="Times New Roman" w:eastAsia="仿宋" w:cs="仿宋"/>
          <w:b/>
          <w:sz w:val="24"/>
        </w:rPr>
      </w:pPr>
      <w:r>
        <w:rPr>
          <w:rFonts w:hint="eastAsia" w:ascii="Times New Roman" w:hAnsi="Times New Roman" w:eastAsia="仿宋" w:cs="仿宋"/>
          <w:b/>
          <w:sz w:val="24"/>
        </w:rPr>
        <w:t>（三）申请提前毕业的基本要求</w:t>
      </w:r>
    </w:p>
    <w:p>
      <w:pPr>
        <w:spacing w:line="400" w:lineRule="exact"/>
        <w:ind w:firstLine="480" w:firstLineChars="200"/>
        <w:rPr>
          <w:rFonts w:ascii="Times New Roman" w:hAnsi="Times New Roman" w:eastAsia="仿宋" w:cs="仿宋"/>
          <w:sz w:val="24"/>
        </w:rPr>
      </w:pPr>
      <w:r>
        <w:rPr>
          <w:rFonts w:hint="eastAsia" w:ascii="Times New Roman" w:hAnsi="Times New Roman" w:eastAsia="仿宋" w:cs="仿宋"/>
          <w:sz w:val="24"/>
        </w:rPr>
        <w:t>申请提前毕业的的硕士研究生,需以第一作者发表SCI论文（当年中科院分区一区）两篇及以上，硕士学位论文完成，经导师同意，可向数理学院学位评定分委员会申请提前毕业，数理学院学位评定分委员会将根据学校相关规定进行初步审核，并报送研究生部审批。</w:t>
      </w:r>
    </w:p>
    <w:p>
      <w:pPr>
        <w:spacing w:beforeLines="50" w:afterLines="50" w:line="400" w:lineRule="exact"/>
        <w:rPr>
          <w:rFonts w:ascii="Times New Roman" w:hAnsi="Times New Roman" w:eastAsia="仿宋" w:cs="仿宋"/>
          <w:kern w:val="0"/>
          <w:sz w:val="24"/>
        </w:rPr>
      </w:pPr>
      <w:r>
        <w:rPr>
          <w:rFonts w:hint="eastAsia" w:ascii="Times New Roman" w:hAnsi="Times New Roman" w:eastAsia="仿宋" w:cs="仿宋"/>
          <w:b/>
          <w:bCs/>
          <w:kern w:val="0"/>
          <w:sz w:val="28"/>
          <w:szCs w:val="28"/>
        </w:rPr>
        <w:t>九、学位论文要求</w:t>
      </w:r>
    </w:p>
    <w:bookmarkEnd w:id="5"/>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学位论文是研究生培养工作的重要环节，包括论文的选题、开题报告、撰写、中期检查、预答辩、评阅、答辩等具体环节。</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硕士学位论文应是本人在导师指导下独立完成。学位论文应是有创新点、有理论价值或应用价值的研究成果，能反映作者对本学科方向的理论知识掌握的全面性；论文要有一定的工作量，在论文题目确定后，用于论文工作的时间不少于一年。</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论文要求表达准确、条理清晰、层次分明、文字通顺、格式与图标规范、数据准确可靠、论证周详严谨、结论正确可信，书写必须符合《苏州科技大学硕士学位论文基本格式及相关要求》。论文答辩按照《中华人民共和国学位条例暂行实施办法》和《苏州科技大学硕士学位授予工作细则》进行。</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学位论文是研究生培养质量的重要标志，其中创新成果和研究过程的规范性是衡量学位论文质量的两个标志，具体有以下几个方面：</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学习与研究计划：考察该生能否及时确定其研究课题以及研究计划的可行性；</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开题报告：考察研究生的文献收集与查阅、整理、综述和研究设计能力，以及对相关研究水平的了解程度；</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论文答辩：主要考察论文选题与综述、研究设计与成果、论文写作的逻辑性、规范性、创新性、完整性和工作量的饱和性等；</w:t>
      </w:r>
    </w:p>
    <w:p>
      <w:pPr>
        <w:spacing w:line="400" w:lineRule="exact"/>
        <w:ind w:firstLine="480" w:firstLineChars="200"/>
        <w:rPr>
          <w:rFonts w:ascii="Times New Roman" w:hAnsi="Times New Roman" w:eastAsia="仿宋" w:cs="仿宋"/>
          <w:kern w:val="0"/>
          <w:sz w:val="24"/>
        </w:rPr>
      </w:pPr>
      <w:r>
        <w:rPr>
          <w:rFonts w:hint="eastAsia" w:ascii="Times New Roman" w:hAnsi="Times New Roman" w:eastAsia="仿宋" w:cs="仿宋"/>
          <w:kern w:val="0"/>
          <w:sz w:val="24"/>
        </w:rPr>
        <w:t>发表成果：结合已发表成果的质量与数量，考察研究生研究成果的价值与被认可度，用以佐证该生课题研究的质量。</w:t>
      </w:r>
    </w:p>
    <w:p>
      <w:pPr>
        <w:widowControl/>
        <w:spacing w:line="400" w:lineRule="exact"/>
        <w:jc w:val="left"/>
        <w:rPr>
          <w:rFonts w:ascii="Times New Roman" w:hAnsi="Times New Roman" w:eastAsia="仿宋" w:cs="仿宋"/>
          <w:kern w:val="0"/>
          <w:sz w:val="24"/>
        </w:rPr>
      </w:pPr>
      <w:r>
        <w:rPr>
          <w:rFonts w:ascii="Times New Roman" w:hAnsi="Times New Roman" w:eastAsia="仿宋" w:cs="仿宋"/>
          <w:kern w:val="0"/>
          <w:sz w:val="24"/>
        </w:rPr>
        <w:br w:type="page"/>
      </w:r>
    </w:p>
    <w:p>
      <w:pPr>
        <w:pStyle w:val="6"/>
        <w:adjustRightInd w:val="0"/>
        <w:snapToGrid w:val="0"/>
        <w:spacing w:before="100" w:beforeAutospacing="1" w:after="100" w:afterAutospacing="1" w:line="400" w:lineRule="exact"/>
        <w:ind w:left="0" w:leftChars="0"/>
        <w:jc w:val="center"/>
        <w:outlineLvl w:val="0"/>
        <w:rPr>
          <w:rStyle w:val="26"/>
        </w:rPr>
      </w:pPr>
      <w:r>
        <w:rPr>
          <w:rStyle w:val="26"/>
          <w:rFonts w:hint="eastAsia"/>
          <w:u w:val="single"/>
        </w:rPr>
        <w:t>物理学</w:t>
      </w:r>
      <w:r>
        <w:rPr>
          <w:rStyle w:val="26"/>
          <w:rFonts w:hint="eastAsia"/>
        </w:rPr>
        <w:t>学术学位硕士研究生培养方案</w:t>
      </w:r>
      <w:bookmarkEnd w:id="6"/>
      <w:bookmarkEnd w:id="7"/>
      <w:bookmarkEnd w:id="8"/>
    </w:p>
    <w:p>
      <w:pPr>
        <w:spacing w:line="400" w:lineRule="exact"/>
        <w:rPr>
          <w:rFonts w:ascii="Times New Roman" w:hAnsi="Times New Roman" w:eastAsia="仿宋" w:cs="仿宋"/>
          <w:bCs/>
          <w:color w:val="000000" w:themeColor="text1"/>
          <w:sz w:val="28"/>
          <w:szCs w:val="28"/>
          <w:u w:val="single"/>
        </w:rPr>
      </w:pPr>
      <w:r>
        <w:rPr>
          <w:rFonts w:hint="eastAsia" w:ascii="Times New Roman" w:hAnsi="Times New Roman" w:eastAsia="仿宋" w:cs="仿宋"/>
          <w:bCs/>
          <w:color w:val="000000" w:themeColor="text1"/>
          <w:sz w:val="28"/>
          <w:szCs w:val="28"/>
        </w:rPr>
        <w:t>一级学科名称（代码）：</w:t>
      </w:r>
      <w:r>
        <w:rPr>
          <w:rFonts w:hint="eastAsia" w:ascii="Times New Roman" w:hAnsi="Times New Roman" w:eastAsia="仿宋" w:cs="仿宋"/>
          <w:bCs/>
          <w:color w:val="000000" w:themeColor="text1"/>
          <w:sz w:val="28"/>
          <w:szCs w:val="28"/>
          <w:u w:val="single"/>
        </w:rPr>
        <w:t>物理学（0702）</w:t>
      </w:r>
      <w:r>
        <w:rPr>
          <w:rFonts w:hint="eastAsia" w:ascii="Times New Roman" w:hAnsi="Times New Roman" w:eastAsia="仿宋" w:cs="仿宋"/>
          <w:bCs/>
          <w:color w:val="000000" w:themeColor="text1"/>
          <w:sz w:val="28"/>
          <w:szCs w:val="28"/>
        </w:rPr>
        <w:t xml:space="preserve"> </w:t>
      </w:r>
    </w:p>
    <w:p>
      <w:pPr>
        <w:spacing w:line="400" w:lineRule="exact"/>
        <w:rPr>
          <w:rFonts w:ascii="Times New Roman" w:hAnsi="Times New Roman" w:eastAsia="仿宋" w:cs="仿宋"/>
          <w:bCs/>
          <w:color w:val="000000" w:themeColor="text1"/>
          <w:sz w:val="28"/>
          <w:szCs w:val="28"/>
        </w:rPr>
      </w:pPr>
      <w:r>
        <w:rPr>
          <w:rFonts w:hint="eastAsia" w:ascii="Times New Roman" w:hAnsi="Times New Roman" w:eastAsia="仿宋" w:cs="仿宋"/>
          <w:bCs/>
          <w:color w:val="000000" w:themeColor="text1"/>
          <w:sz w:val="28"/>
          <w:szCs w:val="28"/>
        </w:rPr>
        <w:t>二级学科名称（代码）：</w:t>
      </w:r>
      <w:r>
        <w:rPr>
          <w:rFonts w:hint="eastAsia" w:ascii="Times New Roman" w:hAnsi="Times New Roman" w:eastAsia="仿宋" w:cs="仿宋"/>
          <w:bCs/>
          <w:color w:val="000000" w:themeColor="text1"/>
          <w:sz w:val="28"/>
          <w:szCs w:val="28"/>
          <w:u w:val="single"/>
        </w:rPr>
        <w:t xml:space="preserve">                </w:t>
      </w:r>
    </w:p>
    <w:p>
      <w:pPr>
        <w:spacing w:beforeLines="50" w:afterLines="50" w:line="400" w:lineRule="exact"/>
        <w:rPr>
          <w:rFonts w:ascii="Times New Roman" w:hAnsi="Times New Roman" w:eastAsia="仿宋" w:cs="仿宋"/>
          <w:b/>
          <w:color w:val="000000" w:themeColor="text1"/>
          <w:sz w:val="28"/>
          <w:szCs w:val="28"/>
        </w:rPr>
      </w:pPr>
      <w:r>
        <w:rPr>
          <w:rFonts w:hint="eastAsia" w:ascii="Times New Roman" w:hAnsi="Times New Roman" w:eastAsia="仿宋" w:cs="仿宋"/>
          <w:b/>
          <w:color w:val="000000" w:themeColor="text1"/>
          <w:sz w:val="28"/>
          <w:szCs w:val="28"/>
        </w:rPr>
        <w:t>一、学科简介</w:t>
      </w:r>
    </w:p>
    <w:p>
      <w:pPr>
        <w:spacing w:line="400" w:lineRule="exact"/>
        <w:ind w:firstLine="480" w:firstLineChars="200"/>
        <w:rPr>
          <w:rFonts w:ascii="Times New Roman" w:hAnsi="Times New Roman" w:eastAsia="仿宋" w:cs="仿宋"/>
          <w:color w:val="000000" w:themeColor="text1"/>
          <w:sz w:val="24"/>
        </w:rPr>
      </w:pPr>
      <w:r>
        <w:rPr>
          <w:rFonts w:hint="eastAsia" w:ascii="Times New Roman" w:hAnsi="Times New Roman" w:eastAsia="仿宋" w:cs="仿宋"/>
          <w:color w:val="000000" w:themeColor="text1"/>
          <w:sz w:val="24"/>
        </w:rPr>
        <w:t>本学科依托“江苏省微纳热流技术与能源应用重点实验室”和“江苏省生化传感与芯片技术工程实验室”，结合基础研究和技术应用，立足苏州、服务长三角，形成了理论物理、凝聚态物理和光学三个明确的研究方向。理论物理方向主要研究</w:t>
      </w:r>
      <w:r>
        <w:rPr>
          <w:rFonts w:hint="eastAsia" w:ascii="Times New Roman" w:hAnsi="Times New Roman" w:eastAsia="仿宋" w:cs="仿宋"/>
          <w:color w:val="000000" w:themeColor="text1"/>
          <w:kern w:val="0"/>
          <w:sz w:val="24"/>
        </w:rPr>
        <w:t>量子信息与量子计算、低维材料物性、拓扑量子态等，为新一代量子信息处理、信息存储器件设计等提供理论指导。</w:t>
      </w:r>
      <w:r>
        <w:rPr>
          <w:rFonts w:hint="eastAsia" w:ascii="Times New Roman" w:hAnsi="Times New Roman" w:eastAsia="仿宋" w:cs="仿宋"/>
          <w:color w:val="000000" w:themeColor="text1"/>
          <w:sz w:val="24"/>
        </w:rPr>
        <w:t>凝聚态物理方向主要研究</w:t>
      </w:r>
      <w:r>
        <w:rPr>
          <w:rFonts w:hint="eastAsia" w:ascii="Times New Roman" w:hAnsi="Times New Roman" w:eastAsia="仿宋" w:cs="仿宋"/>
          <w:color w:val="000000" w:themeColor="text1"/>
          <w:kern w:val="0"/>
          <w:sz w:val="24"/>
        </w:rPr>
        <w:t>新能源材料、 二维材料、磁电材料等，为新型功能材料的设计、制备、性能优化提供理论指导及实验基础。</w:t>
      </w:r>
      <w:r>
        <w:rPr>
          <w:rFonts w:hint="eastAsia" w:ascii="Times New Roman" w:hAnsi="Times New Roman" w:eastAsia="仿宋" w:cs="仿宋"/>
          <w:color w:val="000000" w:themeColor="text1"/>
          <w:sz w:val="24"/>
        </w:rPr>
        <w:t xml:space="preserve">光学方向主要研究低维光电功能材料、光与物质的相互作用等，为高效率光电探测器、传感器等新型光学器件研制提供基础。学科以理论模型研究为先导，新型材料制备和功能器件研制为目标，注重三个方向的有机融合。 </w:t>
      </w:r>
    </w:p>
    <w:p>
      <w:pPr>
        <w:spacing w:line="400" w:lineRule="exact"/>
        <w:ind w:firstLine="480" w:firstLineChars="200"/>
        <w:rPr>
          <w:rFonts w:ascii="Times New Roman" w:hAnsi="Times New Roman" w:eastAsia="仿宋" w:cs="仿宋"/>
          <w:color w:val="000000" w:themeColor="text1"/>
          <w:sz w:val="24"/>
        </w:rPr>
      </w:pPr>
      <w:r>
        <w:rPr>
          <w:rFonts w:hint="eastAsia" w:ascii="Times New Roman" w:hAnsi="Times New Roman" w:eastAsia="仿宋" w:cs="仿宋"/>
          <w:color w:val="000000" w:themeColor="text1"/>
          <w:sz w:val="24"/>
        </w:rPr>
        <w:t>学科现有省双创“院士”团队，拥有国家级人才2名，江苏省特聘教授1名、江苏省“333人才工程”</w:t>
      </w:r>
      <w:r>
        <w:rPr>
          <w:rFonts w:ascii="Times New Roman" w:hAnsi="Times New Roman" w:eastAsia="仿宋" w:cs="仿宋"/>
          <w:color w:val="000000" w:themeColor="text1"/>
          <w:sz w:val="24"/>
        </w:rPr>
        <w:t>3</w:t>
      </w:r>
      <w:r>
        <w:rPr>
          <w:rFonts w:hint="eastAsia" w:ascii="Times New Roman" w:hAnsi="Times New Roman" w:eastAsia="仿宋" w:cs="仿宋"/>
          <w:color w:val="000000" w:themeColor="text1"/>
          <w:sz w:val="24"/>
        </w:rPr>
        <w:t>名、江苏省高校“青蓝工程” 中青年学术带头人</w:t>
      </w:r>
      <w:r>
        <w:rPr>
          <w:rFonts w:ascii="Times New Roman" w:hAnsi="Times New Roman" w:eastAsia="仿宋" w:cs="仿宋"/>
          <w:color w:val="000000" w:themeColor="text1"/>
          <w:sz w:val="24"/>
        </w:rPr>
        <w:t>4</w:t>
      </w:r>
      <w:r>
        <w:rPr>
          <w:rFonts w:hint="eastAsia" w:ascii="Times New Roman" w:hAnsi="Times New Roman" w:eastAsia="仿宋" w:cs="仿宋"/>
          <w:color w:val="000000" w:themeColor="text1"/>
          <w:sz w:val="24"/>
        </w:rPr>
        <w:t>名、江苏省“六大人才高峰”3名，海外经历教师 1</w:t>
      </w:r>
      <w:r>
        <w:rPr>
          <w:rFonts w:ascii="Times New Roman" w:hAnsi="Times New Roman" w:eastAsia="仿宋" w:cs="仿宋"/>
          <w:color w:val="000000" w:themeColor="text1"/>
          <w:sz w:val="24"/>
        </w:rPr>
        <w:t>5</w:t>
      </w:r>
      <w:r>
        <w:rPr>
          <w:rFonts w:hint="eastAsia" w:ascii="Times New Roman" w:hAnsi="Times New Roman" w:eastAsia="仿宋" w:cs="仿宋"/>
          <w:color w:val="000000" w:themeColor="text1"/>
          <w:sz w:val="24"/>
        </w:rPr>
        <w:t>人。近五年学科共承担国家自然科学基金</w:t>
      </w:r>
      <w:r>
        <w:rPr>
          <w:rFonts w:ascii="Times New Roman" w:hAnsi="Times New Roman" w:eastAsia="仿宋" w:cs="仿宋"/>
          <w:color w:val="000000" w:themeColor="text1"/>
          <w:sz w:val="24"/>
        </w:rPr>
        <w:t>25</w:t>
      </w:r>
      <w:r>
        <w:rPr>
          <w:rFonts w:hint="eastAsia" w:ascii="Times New Roman" w:hAnsi="Times New Roman" w:eastAsia="仿宋" w:cs="仿宋"/>
          <w:color w:val="000000" w:themeColor="text1"/>
          <w:sz w:val="24"/>
        </w:rPr>
        <w:t>项。近年来，学科在</w:t>
      </w:r>
      <w:r>
        <w:fldChar w:fldCharType="begin"/>
      </w:r>
      <w:r>
        <w:instrText xml:space="preserve"> HYPERLINK "http://www.baidu.com/link?url=qXTamSxTgKzEIVJ30ixodjoxHXYzXJN6wcSwtXZ6V-3" \t "_blank" </w:instrText>
      </w:r>
      <w:r>
        <w:fldChar w:fldCharType="separate"/>
      </w:r>
      <w:r>
        <w:rPr>
          <w:rFonts w:ascii="Times New Roman" w:hAnsi="Times New Roman" w:eastAsia="仿宋" w:cs="仿宋"/>
          <w:color w:val="000000" w:themeColor="text1"/>
          <w:sz w:val="24"/>
        </w:rPr>
        <w:t>Physical Review Letters</w:t>
      </w:r>
      <w:r>
        <w:rPr>
          <w:rFonts w:ascii="Times New Roman" w:hAnsi="Times New Roman" w:eastAsia="仿宋" w:cs="仿宋"/>
          <w:color w:val="000000" w:themeColor="text1"/>
          <w:sz w:val="24"/>
        </w:rPr>
        <w:fldChar w:fldCharType="end"/>
      </w:r>
      <w:r>
        <w:rPr>
          <w:rFonts w:hint="eastAsia" w:ascii="Times New Roman" w:hAnsi="Times New Roman" w:eastAsia="仿宋" w:cs="仿宋"/>
          <w:color w:val="000000" w:themeColor="text1"/>
          <w:sz w:val="24"/>
        </w:rPr>
        <w:t>、Nature</w:t>
      </w:r>
      <w:r>
        <w:rPr>
          <w:rFonts w:ascii="Times New Roman" w:hAnsi="Times New Roman" w:eastAsia="仿宋" w:cs="仿宋"/>
          <w:color w:val="000000" w:themeColor="text1"/>
          <w:sz w:val="24"/>
        </w:rPr>
        <w:t xml:space="preserve"> </w:t>
      </w:r>
      <w:r>
        <w:rPr>
          <w:rFonts w:hint="eastAsia" w:ascii="Times New Roman" w:hAnsi="Times New Roman" w:eastAsia="仿宋" w:cs="仿宋"/>
          <w:color w:val="000000" w:themeColor="text1"/>
          <w:sz w:val="24"/>
        </w:rPr>
        <w:t>Energy、Nature</w:t>
      </w:r>
      <w:r>
        <w:rPr>
          <w:rFonts w:ascii="Times New Roman" w:hAnsi="Times New Roman" w:eastAsia="仿宋" w:cs="仿宋"/>
          <w:color w:val="000000" w:themeColor="text1"/>
          <w:sz w:val="24"/>
        </w:rPr>
        <w:t xml:space="preserve"> </w:t>
      </w:r>
      <w:r>
        <w:rPr>
          <w:rFonts w:hint="eastAsia" w:ascii="Times New Roman" w:hAnsi="Times New Roman" w:eastAsia="仿宋" w:cs="仿宋"/>
          <w:color w:val="000000" w:themeColor="text1"/>
          <w:sz w:val="24"/>
        </w:rPr>
        <w:t>Communication、</w:t>
      </w:r>
      <w:r>
        <w:fldChar w:fldCharType="begin"/>
      </w:r>
      <w:r>
        <w:instrText xml:space="preserve"> HYPERLINK "http://www.baidu.com/link?url=1--7O4LwZ8lGeS0MoacuhppHj02enMm0XD3DME3JrLLsBQj9l_EjEeV7HjGt7ntuVeAXR7bzMHG0yUAVacwF6a" \t "_blank" </w:instrText>
      </w:r>
      <w:r>
        <w:fldChar w:fldCharType="separate"/>
      </w:r>
      <w:r>
        <w:rPr>
          <w:rFonts w:ascii="Times New Roman" w:hAnsi="Times New Roman" w:eastAsia="宋体" w:cs="Times New Roman"/>
          <w:kern w:val="0"/>
          <w:szCs w:val="21"/>
        </w:rPr>
        <w:t>Advanced Functional Materials</w:t>
      </w:r>
      <w:r>
        <w:rPr>
          <w:rFonts w:ascii="Times New Roman" w:hAnsi="Times New Roman" w:eastAsia="宋体" w:cs="Times New Roman"/>
          <w:kern w:val="0"/>
          <w:szCs w:val="21"/>
        </w:rPr>
        <w:fldChar w:fldCharType="end"/>
      </w:r>
      <w:r>
        <w:rPr>
          <w:rFonts w:hint="eastAsia" w:ascii="Times New Roman" w:hAnsi="Times New Roman" w:eastAsia="宋体" w:cs="Times New Roman"/>
          <w:kern w:val="0"/>
          <w:szCs w:val="21"/>
        </w:rPr>
        <w:t>、</w:t>
      </w:r>
      <w:r>
        <w:rPr>
          <w:rFonts w:ascii="Times New Roman" w:hAnsi="Times New Roman" w:eastAsia="宋体" w:cs="Times New Roman"/>
          <w:kern w:val="0"/>
          <w:szCs w:val="21"/>
        </w:rPr>
        <w:t>Physical Review B</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Applied Physics Letters</w:t>
      </w:r>
      <w:r>
        <w:rPr>
          <w:rFonts w:hint="eastAsia" w:ascii="Times New Roman" w:hAnsi="Times New Roman" w:eastAsia="宋体" w:cs="Times New Roman"/>
          <w:kern w:val="0"/>
          <w:szCs w:val="21"/>
        </w:rPr>
        <w:t>等学术期刊发表SCI收录论文</w:t>
      </w:r>
      <w:r>
        <w:rPr>
          <w:rFonts w:ascii="Times New Roman" w:hAnsi="Times New Roman" w:eastAsia="宋体" w:cs="Times New Roman"/>
          <w:kern w:val="0"/>
          <w:szCs w:val="21"/>
        </w:rPr>
        <w:t>300</w:t>
      </w:r>
      <w:r>
        <w:rPr>
          <w:rFonts w:hint="eastAsia" w:ascii="Times New Roman" w:hAnsi="Times New Roman" w:eastAsia="宋体" w:cs="Times New Roman"/>
          <w:kern w:val="0"/>
          <w:szCs w:val="21"/>
        </w:rPr>
        <w:t>余篇。</w:t>
      </w:r>
      <w:r>
        <w:rPr>
          <w:rFonts w:hint="eastAsia" w:ascii="Times New Roman" w:hAnsi="Times New Roman" w:eastAsia="仿宋" w:cs="仿宋"/>
          <w:color w:val="000000" w:themeColor="text1"/>
          <w:sz w:val="24"/>
        </w:rPr>
        <w:t>学科与国内外知名高校开展广泛的合作研究。2</w:t>
      </w:r>
      <w:r>
        <w:rPr>
          <w:rFonts w:ascii="Times New Roman" w:hAnsi="Times New Roman" w:eastAsia="仿宋" w:cs="仿宋"/>
          <w:color w:val="000000" w:themeColor="text1"/>
          <w:sz w:val="24"/>
        </w:rPr>
        <w:t>019</w:t>
      </w:r>
      <w:r>
        <w:rPr>
          <w:rFonts w:hint="eastAsia" w:ascii="Times New Roman" w:hAnsi="Times New Roman" w:eastAsia="仿宋" w:cs="仿宋"/>
          <w:color w:val="000000" w:themeColor="text1"/>
          <w:sz w:val="24"/>
        </w:rPr>
        <w:t>年主办第二届洁净能源材料及技术国际会议，参会专家包括美国科学院院士、中国科学院院士、韩国科学技术院院士等10余个国家的知名学者，总计350余人。</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sz w:val="24"/>
        </w:rPr>
        <w:t>学科拥有高性能计算集群、原子力显微镜、X射线衍射仪、物性测量系统、离子束辅助磁控溅射系统、激光分子束外延系统、X-射线仪和单细胞纳米生化检测仪等大型设备，价值</w:t>
      </w:r>
      <w:r>
        <w:rPr>
          <w:rFonts w:hint="eastAsia" w:ascii="Times New Roman" w:hAnsi="Times New Roman" w:eastAsia="仿宋" w:cs="仿宋"/>
          <w:color w:val="000000" w:themeColor="text1"/>
          <w:kern w:val="0"/>
          <w:sz w:val="24"/>
        </w:rPr>
        <w:t>8000多万。</w:t>
      </w:r>
    </w:p>
    <w:p>
      <w:pPr>
        <w:spacing w:beforeLines="50" w:afterLines="50" w:line="400" w:lineRule="exact"/>
        <w:rPr>
          <w:rFonts w:ascii="Times New Roman" w:hAnsi="Times New Roman" w:eastAsia="仿宋" w:cs="仿宋"/>
          <w:b/>
          <w:color w:val="000000" w:themeColor="text1"/>
          <w:sz w:val="28"/>
          <w:szCs w:val="28"/>
        </w:rPr>
      </w:pPr>
      <w:r>
        <w:rPr>
          <w:rFonts w:hint="eastAsia" w:ascii="Times New Roman" w:hAnsi="Times New Roman" w:eastAsia="仿宋" w:cs="仿宋"/>
          <w:b/>
          <w:color w:val="000000" w:themeColor="text1"/>
          <w:sz w:val="28"/>
          <w:szCs w:val="28"/>
        </w:rPr>
        <w:t>二、培养目标</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sz w:val="24"/>
        </w:rPr>
        <w:t>本学科培养德、智、体、美、劳全面发展，具有坚实物理理论基础，了解所从事研究方向的发展历史、进展及前沿，具有一定物理学科研创新能力的</w:t>
      </w:r>
      <w:r>
        <w:rPr>
          <w:rFonts w:hint="eastAsia" w:ascii="Times New Roman" w:hAnsi="Times New Roman" w:eastAsia="仿宋" w:cs="仿宋"/>
          <w:color w:val="000000" w:themeColor="text1"/>
          <w:kern w:val="0"/>
          <w:sz w:val="24"/>
        </w:rPr>
        <w:t>高级专门人才。具体目标如下：</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很好地掌握马克思列宁主义、毛泽东思想、邓小平理论、“三个代表”重要思想、科学发展观以及习近平新时代中国特色社会主义思想；热爱祖国，遵纪守法，品行端正；具有严谨的治学态度，团结合作的精神，高尚的科研道德和为社会主义现代化建设艰苦奋斗的奉献精神。</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扎实掌握物理学基础理论和系统的专业知识及必要的实验技能；具有从事科学研究、教学工作或独立担负专门技术工作的能力；了解物理学的发展现状和动向，具有严谨自律的科学作风和一定的创新能力。</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3. 熟练掌握英语知识，能阅读本专业的英文资料，并能撰写论文和开展学术交流。</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4. 身心健康。</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 xml:space="preserve">5. </w:t>
      </w:r>
      <w:r>
        <w:rPr>
          <w:rFonts w:hint="eastAsia" w:ascii="Times New Roman" w:hAnsi="Times New Roman" w:eastAsia="仿宋" w:cs="仿宋"/>
          <w:color w:val="000000" w:themeColor="text1"/>
          <w:sz w:val="24"/>
        </w:rPr>
        <w:t>将来能够从事</w:t>
      </w:r>
      <w:r>
        <w:rPr>
          <w:rFonts w:hint="eastAsia" w:ascii="Times New Roman" w:hAnsi="Times New Roman" w:eastAsia="仿宋" w:cs="仿宋"/>
          <w:color w:val="000000" w:themeColor="text1"/>
          <w:kern w:val="0"/>
          <w:sz w:val="24"/>
        </w:rPr>
        <w:t>教育部门、科研机构、高新技术企业、工程技术领域从事教学、科研、技术开发、管理等工作。</w:t>
      </w:r>
    </w:p>
    <w:p>
      <w:pPr>
        <w:spacing w:beforeLines="50" w:afterLines="50" w:line="400" w:lineRule="exact"/>
        <w:rPr>
          <w:rFonts w:ascii="Times New Roman" w:hAnsi="Times New Roman" w:eastAsia="仿宋" w:cs="仿宋"/>
          <w:b/>
          <w:color w:val="000000" w:themeColor="text1"/>
          <w:sz w:val="28"/>
          <w:szCs w:val="28"/>
        </w:rPr>
      </w:pPr>
      <w:r>
        <w:rPr>
          <w:rFonts w:hint="eastAsia" w:ascii="Times New Roman" w:hAnsi="Times New Roman" w:eastAsia="仿宋" w:cs="仿宋"/>
          <w:b/>
          <w:color w:val="000000" w:themeColor="text1"/>
          <w:sz w:val="28"/>
          <w:szCs w:val="28"/>
        </w:rPr>
        <w:t>三、研究方向</w:t>
      </w:r>
    </w:p>
    <w:p>
      <w:pPr>
        <w:spacing w:line="400" w:lineRule="exact"/>
        <w:ind w:firstLine="482" w:firstLineChars="200"/>
        <w:rPr>
          <w:rFonts w:ascii="Times New Roman" w:hAnsi="Times New Roman" w:eastAsia="仿宋" w:cs="仿宋"/>
          <w:color w:val="000000" w:themeColor="text1"/>
          <w:kern w:val="0"/>
          <w:sz w:val="24"/>
        </w:rPr>
      </w:pPr>
      <w:r>
        <w:rPr>
          <w:rFonts w:hint="eastAsia" w:ascii="Times New Roman" w:hAnsi="Times New Roman" w:eastAsia="仿宋" w:cs="仿宋"/>
          <w:b/>
          <w:color w:val="000000" w:themeColor="text1"/>
          <w:kern w:val="0"/>
          <w:sz w:val="24"/>
        </w:rPr>
        <w:t>01理论物理</w:t>
      </w:r>
      <w:r>
        <w:rPr>
          <w:rFonts w:hint="eastAsia" w:ascii="Times New Roman" w:hAnsi="Times New Roman" w:eastAsia="仿宋" w:cs="仿宋"/>
          <w:color w:val="000000" w:themeColor="text1"/>
          <w:kern w:val="0"/>
          <w:sz w:val="24"/>
        </w:rPr>
        <w:t>：</w:t>
      </w:r>
      <w:r>
        <w:rPr>
          <w:rFonts w:hint="eastAsia" w:ascii="Times New Roman" w:hAnsi="Times New Roman" w:eastAsia="仿宋" w:cs="仿宋"/>
          <w:color w:val="000000" w:themeColor="text1"/>
          <w:sz w:val="24"/>
        </w:rPr>
        <w:t>主要研究量子信息与量子计算，探索相对论效应下的量子纠缠的度量；</w:t>
      </w:r>
      <w:r>
        <w:rPr>
          <w:rFonts w:ascii="Times New Roman" w:hAnsi="Times New Roman" w:eastAsia="仿宋" w:cs="仿宋"/>
          <w:color w:val="000000" w:themeColor="text1"/>
          <w:sz w:val="24"/>
        </w:rPr>
        <w:t>采用物理模型分析与理论模拟计算相结合的方式，开展包括量子自旋霍尔效应、量子反常霍尔效应、拓扑绝缘体、拓扑半金属等拓扑量子态的物性研究</w:t>
      </w:r>
      <w:r>
        <w:rPr>
          <w:rFonts w:hint="eastAsia" w:ascii="Times New Roman" w:hAnsi="Times New Roman" w:eastAsia="仿宋" w:cs="仿宋"/>
          <w:color w:val="000000" w:themeColor="text1"/>
          <w:sz w:val="24"/>
        </w:rPr>
        <w:t>；纳米螺旋材料的生长机理和机械性质的研究，探索其在微纳米电子机械系统的应用；大气物理中的非线性现象研究，探索气象预测和对气候的影响。</w:t>
      </w:r>
    </w:p>
    <w:p>
      <w:pPr>
        <w:spacing w:line="400" w:lineRule="exact"/>
        <w:ind w:firstLine="482" w:firstLineChars="200"/>
      </w:pPr>
      <w:r>
        <w:rPr>
          <w:rFonts w:hint="eastAsia" w:ascii="Times New Roman" w:hAnsi="Times New Roman" w:eastAsia="仿宋" w:cs="仿宋"/>
          <w:b/>
          <w:color w:val="000000" w:themeColor="text1"/>
          <w:kern w:val="0"/>
          <w:sz w:val="24"/>
        </w:rPr>
        <w:t>02凝聚态物理</w:t>
      </w:r>
      <w:r>
        <w:rPr>
          <w:rFonts w:hint="eastAsia" w:ascii="Times New Roman" w:hAnsi="Times New Roman" w:eastAsia="仿宋" w:cs="仿宋"/>
          <w:color w:val="000000" w:themeColor="text1"/>
          <w:kern w:val="0"/>
          <w:sz w:val="24"/>
        </w:rPr>
        <w:t>：</w:t>
      </w:r>
      <w:r>
        <w:rPr>
          <w:rFonts w:ascii="Times New Roman" w:hAnsi="Times New Roman" w:eastAsia="仿宋" w:cs="仿宋"/>
          <w:color w:val="000000" w:themeColor="text1"/>
          <w:sz w:val="24"/>
        </w:rPr>
        <w:t>以新能源材料、 二维材料、磁电材料等为研究对象，系统研究新型功能材料的设计、制备、性能优化、光电输运机理等前沿课题</w:t>
      </w:r>
      <w:r>
        <w:rPr>
          <w:rFonts w:hint="eastAsia" w:ascii="Times New Roman" w:hAnsi="Times New Roman" w:eastAsia="仿宋" w:cs="仿宋"/>
          <w:color w:val="000000" w:themeColor="text1"/>
          <w:sz w:val="24"/>
        </w:rPr>
        <w:t>；研究</w:t>
      </w:r>
      <w:r>
        <w:rPr>
          <w:rFonts w:ascii="Times New Roman" w:hAnsi="Times New Roman" w:eastAsia="仿宋" w:cs="仿宋"/>
          <w:color w:val="000000" w:themeColor="text1"/>
          <w:sz w:val="24"/>
        </w:rPr>
        <w:t>二维材料</w:t>
      </w:r>
      <w:r>
        <w:rPr>
          <w:rFonts w:hint="eastAsia" w:ascii="Times New Roman" w:hAnsi="Times New Roman" w:eastAsia="仿宋" w:cs="仿宋"/>
          <w:color w:val="000000" w:themeColor="text1"/>
          <w:sz w:val="24"/>
        </w:rPr>
        <w:t>/氧化物薄膜界面处范德瓦尔斯结的物理特性和器件，快速响应的光探测器件；</w:t>
      </w:r>
      <w:r>
        <w:rPr>
          <w:rFonts w:ascii="Times New Roman" w:hAnsi="Times New Roman" w:eastAsia="仿宋" w:cs="仿宋"/>
          <w:color w:val="000000" w:themeColor="text1"/>
          <w:sz w:val="24"/>
        </w:rPr>
        <w:t>开展铁磁/铁电薄膜微结构在微波-太赫兹波段调控的物理机理研究，通过仿真模拟和微纳加工技术，实现可调控微波-太赫兹波原型器件的实时演示</w:t>
      </w:r>
      <w:r>
        <w:rPr>
          <w:rFonts w:hint="eastAsia" w:ascii="Times New Roman" w:hAnsi="Times New Roman" w:eastAsia="仿宋" w:cs="仿宋"/>
          <w:color w:val="000000" w:themeColor="text1"/>
          <w:sz w:val="24"/>
        </w:rPr>
        <w:t>；探索</w:t>
      </w:r>
      <w:r>
        <w:rPr>
          <w:rFonts w:ascii="Times New Roman" w:hAnsi="Times New Roman" w:eastAsia="仿宋" w:cs="仿宋"/>
          <w:color w:val="000000" w:themeColor="text1"/>
          <w:sz w:val="24"/>
        </w:rPr>
        <w:t>稀土永磁材料、磁致冷材料等新相合成和性能研究，发展新一代的稀土功能材料。</w:t>
      </w:r>
    </w:p>
    <w:p>
      <w:pPr>
        <w:spacing w:line="400" w:lineRule="exact"/>
        <w:ind w:firstLine="482" w:firstLineChars="200"/>
        <w:rPr>
          <w:rFonts w:ascii="Times New Roman" w:hAnsi="Times New Roman" w:eastAsia="仿宋" w:cs="仿宋"/>
          <w:color w:val="000000" w:themeColor="text1"/>
          <w:sz w:val="24"/>
        </w:rPr>
      </w:pPr>
      <w:r>
        <w:rPr>
          <w:rFonts w:hint="eastAsia" w:ascii="Times New Roman" w:hAnsi="Times New Roman" w:eastAsia="仿宋" w:cs="仿宋"/>
          <w:b/>
          <w:color w:val="000000" w:themeColor="text1"/>
          <w:kern w:val="0"/>
          <w:sz w:val="24"/>
        </w:rPr>
        <w:t>03光学</w:t>
      </w:r>
      <w:r>
        <w:rPr>
          <w:rFonts w:hint="eastAsia" w:ascii="Times New Roman" w:hAnsi="Times New Roman" w:eastAsia="仿宋" w:cs="仿宋"/>
          <w:color w:val="000000" w:themeColor="text1"/>
          <w:kern w:val="0"/>
          <w:sz w:val="24"/>
        </w:rPr>
        <w:t>：</w:t>
      </w:r>
      <w:r>
        <w:rPr>
          <w:rFonts w:ascii="Times New Roman" w:hAnsi="Times New Roman" w:eastAsia="仿宋" w:cs="仿宋"/>
          <w:color w:val="000000" w:themeColor="text1"/>
          <w:sz w:val="24"/>
        </w:rPr>
        <w:t>以先进光电子学、光与物质相互作用以及光电功能材料及器件等为主要研究方向，系统研究光电功能材料作用机理以及光与物质作用过程和机制，研发具有特异光传播及响应的功能材料及结构，实现对光与物质作用的可控调节。开发光催化技术和搭建高效光伏、光电探测与传感等新型能源与环境器件。</w:t>
      </w:r>
    </w:p>
    <w:p>
      <w:pPr>
        <w:spacing w:beforeLines="50" w:afterLines="50" w:line="400" w:lineRule="exact"/>
        <w:rPr>
          <w:rFonts w:ascii="Times New Roman" w:hAnsi="Times New Roman" w:eastAsia="仿宋" w:cs="仿宋"/>
          <w:b/>
          <w:color w:val="000000" w:themeColor="text1"/>
          <w:sz w:val="28"/>
          <w:szCs w:val="28"/>
        </w:rPr>
      </w:pPr>
      <w:r>
        <w:rPr>
          <w:rFonts w:hint="eastAsia" w:ascii="Times New Roman" w:hAnsi="Times New Roman" w:eastAsia="仿宋" w:cs="仿宋"/>
          <w:b/>
          <w:color w:val="000000" w:themeColor="text1"/>
          <w:sz w:val="28"/>
          <w:szCs w:val="28"/>
        </w:rPr>
        <w:t>四、学习年限</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本学科学制为3年。提前完成培养计划且成绩优异的研究生，以第一作者发表SCI二区</w:t>
      </w:r>
      <w:r>
        <w:rPr>
          <w:rFonts w:hint="eastAsia" w:ascii="Times New Roman" w:hAnsi="Times New Roman" w:eastAsia="仿宋" w:cs="仿宋"/>
          <w:color w:val="000000" w:themeColor="text1"/>
          <w:sz w:val="24"/>
        </w:rPr>
        <w:t>（论文发表当年中科院分区）</w:t>
      </w:r>
      <w:r>
        <w:rPr>
          <w:rFonts w:hint="eastAsia" w:ascii="Times New Roman" w:hAnsi="Times New Roman" w:eastAsia="仿宋" w:cs="仿宋"/>
          <w:color w:val="000000" w:themeColor="text1"/>
          <w:kern w:val="0"/>
          <w:sz w:val="24"/>
        </w:rPr>
        <w:t>论文2篇，可申请提前答辩；如遇特殊情况，由研究生本人提出申请，经导师同意、学院分管领导审核、研究生部批准，可适当延长学习年限，至多延长</w:t>
      </w:r>
      <w:r>
        <w:rPr>
          <w:rFonts w:hint="eastAsia" w:ascii="Times New Roman" w:hAnsi="Times New Roman" w:eastAsia="仿宋" w:cs="仿宋"/>
          <w:b/>
          <w:bCs/>
          <w:color w:val="000000" w:themeColor="text1"/>
          <w:kern w:val="0"/>
          <w:sz w:val="24"/>
        </w:rPr>
        <w:t>3</w:t>
      </w:r>
      <w:r>
        <w:rPr>
          <w:rFonts w:hint="eastAsia" w:ascii="Times New Roman" w:hAnsi="Times New Roman" w:eastAsia="仿宋" w:cs="仿宋"/>
          <w:color w:val="000000" w:themeColor="text1"/>
          <w:kern w:val="0"/>
          <w:sz w:val="24"/>
        </w:rPr>
        <w:t>年。</w:t>
      </w:r>
    </w:p>
    <w:p>
      <w:pPr>
        <w:spacing w:beforeLines="50" w:afterLines="50" w:line="400" w:lineRule="exact"/>
        <w:rPr>
          <w:rFonts w:ascii="Times New Roman" w:hAnsi="Times New Roman" w:eastAsia="仿宋" w:cs="仿宋"/>
          <w:b/>
          <w:color w:val="000000" w:themeColor="text1"/>
          <w:sz w:val="28"/>
          <w:szCs w:val="28"/>
        </w:rPr>
      </w:pPr>
      <w:r>
        <w:rPr>
          <w:rFonts w:hint="eastAsia" w:ascii="Times New Roman" w:hAnsi="Times New Roman" w:eastAsia="仿宋" w:cs="仿宋"/>
          <w:b/>
          <w:color w:val="000000" w:themeColor="text1"/>
          <w:sz w:val="28"/>
          <w:szCs w:val="28"/>
        </w:rPr>
        <w:t>五、培养方式</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bCs/>
          <w:color w:val="000000" w:themeColor="text1"/>
          <w:kern w:val="0"/>
          <w:sz w:val="24"/>
        </w:rPr>
        <w:t>1</w:t>
      </w:r>
      <w:r>
        <w:rPr>
          <w:rFonts w:hint="eastAsia" w:ascii="Times New Roman" w:hAnsi="Times New Roman" w:eastAsia="仿宋" w:cs="仿宋"/>
          <w:color w:val="000000" w:themeColor="text1"/>
          <w:kern w:val="0"/>
          <w:sz w:val="24"/>
        </w:rPr>
        <w:t>. 按照分类培养、创新模式的原则，实行导师负责制。同时，积极探索和实施学科团队合作培养模式。</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bCs/>
          <w:color w:val="000000" w:themeColor="text1"/>
          <w:kern w:val="0"/>
          <w:sz w:val="24"/>
        </w:rPr>
        <w:t>2</w:t>
      </w:r>
      <w:r>
        <w:rPr>
          <w:rFonts w:hint="eastAsia" w:ascii="Times New Roman" w:hAnsi="Times New Roman" w:eastAsia="仿宋" w:cs="仿宋"/>
          <w:color w:val="000000" w:themeColor="text1"/>
          <w:kern w:val="0"/>
          <w:sz w:val="24"/>
        </w:rPr>
        <w:t>. 培养采用系统理论学习和科学研究并重，课程、必修环节和学位论文相结合的方式进行，既要使学生深入掌握基础理论和专业知识，又要使学生掌握科学研究的基本方法和技能。</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bCs/>
          <w:color w:val="000000" w:themeColor="text1"/>
          <w:kern w:val="0"/>
          <w:sz w:val="24"/>
        </w:rPr>
        <w:t>3</w:t>
      </w:r>
      <w:r>
        <w:rPr>
          <w:rFonts w:hint="eastAsia" w:ascii="Times New Roman" w:hAnsi="Times New Roman" w:eastAsia="仿宋" w:cs="仿宋"/>
          <w:color w:val="000000" w:themeColor="text1"/>
          <w:kern w:val="0"/>
          <w:sz w:val="24"/>
        </w:rPr>
        <w:t>. 既要充分发挥研究生导师的主导作用，又要积极发挥研究生的积极性、主动性和创造性，营造创新气氛，培养研究生获取知识、更新知识和创新知识的能力。</w:t>
      </w:r>
    </w:p>
    <w:p>
      <w:pPr>
        <w:spacing w:beforeLines="50" w:afterLines="50" w:line="400" w:lineRule="exact"/>
        <w:ind w:firstLine="562" w:firstLineChars="200"/>
        <w:rPr>
          <w:rFonts w:ascii="Times New Roman" w:hAnsi="Times New Roman" w:eastAsia="仿宋" w:cs="仿宋"/>
          <w:b/>
          <w:color w:val="000000" w:themeColor="text1"/>
          <w:sz w:val="28"/>
          <w:szCs w:val="28"/>
        </w:rPr>
      </w:pPr>
      <w:r>
        <w:rPr>
          <w:rFonts w:hint="eastAsia" w:ascii="Times New Roman" w:hAnsi="Times New Roman" w:eastAsia="仿宋" w:cs="仿宋"/>
          <w:b/>
          <w:color w:val="000000" w:themeColor="text1"/>
          <w:sz w:val="28"/>
          <w:szCs w:val="28"/>
        </w:rPr>
        <w:t>六、学分要求</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硕士研究生的课程学习采用学分制。本学科研究生在学位论文答辩之前必须修完不少于</w:t>
      </w:r>
      <w:r>
        <w:rPr>
          <w:rFonts w:hint="eastAsia" w:ascii="Times New Roman" w:hAnsi="Times New Roman" w:eastAsia="仿宋" w:cs="仿宋"/>
          <w:b/>
          <w:bCs/>
          <w:color w:val="000000" w:themeColor="text1"/>
          <w:kern w:val="0"/>
          <w:sz w:val="24"/>
        </w:rPr>
        <w:t>34</w:t>
      </w:r>
      <w:r>
        <w:rPr>
          <w:rFonts w:hint="eastAsia" w:ascii="Times New Roman" w:hAnsi="Times New Roman" w:eastAsia="仿宋" w:cs="仿宋"/>
          <w:color w:val="000000" w:themeColor="text1"/>
          <w:kern w:val="0"/>
          <w:sz w:val="24"/>
        </w:rPr>
        <w:t>学分，且总学分原则上不超过</w:t>
      </w:r>
      <w:r>
        <w:rPr>
          <w:rFonts w:hint="eastAsia" w:ascii="Times New Roman" w:hAnsi="Times New Roman" w:eastAsia="仿宋" w:cs="仿宋"/>
          <w:b/>
          <w:bCs/>
          <w:color w:val="000000" w:themeColor="text1"/>
          <w:kern w:val="0"/>
          <w:sz w:val="24"/>
        </w:rPr>
        <w:t>36</w:t>
      </w:r>
      <w:r>
        <w:rPr>
          <w:rFonts w:hint="eastAsia" w:ascii="Times New Roman" w:hAnsi="Times New Roman" w:eastAsia="仿宋" w:cs="仿宋"/>
          <w:color w:val="000000" w:themeColor="text1"/>
          <w:kern w:val="0"/>
          <w:sz w:val="24"/>
        </w:rPr>
        <w:t>学分，同时满足公共课、学科基础课、专业基础课、选修课和必修环节的学分要求。 </w:t>
      </w:r>
    </w:p>
    <w:p>
      <w:pPr>
        <w:spacing w:beforeLines="50" w:afterLines="50" w:line="400" w:lineRule="exact"/>
        <w:rPr>
          <w:rFonts w:ascii="Times New Roman" w:hAnsi="Times New Roman" w:eastAsia="仿宋" w:cs="仿宋"/>
          <w:b/>
          <w:color w:val="000000" w:themeColor="text1"/>
          <w:sz w:val="28"/>
          <w:szCs w:val="28"/>
        </w:rPr>
      </w:pPr>
      <w:r>
        <w:rPr>
          <w:rFonts w:hint="eastAsia" w:ascii="Times New Roman" w:hAnsi="Times New Roman" w:eastAsia="仿宋" w:cs="仿宋"/>
          <w:b/>
          <w:color w:val="000000" w:themeColor="text1"/>
          <w:sz w:val="28"/>
          <w:szCs w:val="28"/>
        </w:rPr>
        <w:t>七、课程设置与要求</w:t>
      </w:r>
    </w:p>
    <w:p>
      <w:pPr>
        <w:spacing w:line="400" w:lineRule="exact"/>
        <w:ind w:firstLine="482" w:firstLineChars="200"/>
        <w:rPr>
          <w:rFonts w:ascii="Times New Roman" w:hAnsi="Times New Roman" w:eastAsia="仿宋" w:cs="仿宋"/>
          <w:b/>
          <w:color w:val="000000" w:themeColor="text1"/>
          <w:sz w:val="24"/>
        </w:rPr>
      </w:pPr>
      <w:r>
        <w:rPr>
          <w:rFonts w:hint="eastAsia" w:ascii="Times New Roman" w:hAnsi="Times New Roman" w:eastAsia="仿宋" w:cs="仿宋"/>
          <w:b/>
          <w:color w:val="000000" w:themeColor="text1"/>
          <w:sz w:val="24"/>
        </w:rPr>
        <w:t>（一）课程设置</w:t>
      </w:r>
    </w:p>
    <w:p>
      <w:pPr>
        <w:widowControl/>
        <w:spacing w:line="400" w:lineRule="exact"/>
        <w:jc w:val="left"/>
        <w:rPr>
          <w:rFonts w:ascii="Times New Roman" w:hAnsi="Times New Roman" w:eastAsia="仿宋" w:cs="仿宋"/>
          <w:b/>
          <w:bCs/>
          <w:color w:val="000000" w:themeColor="text1"/>
          <w:kern w:val="0"/>
          <w:sz w:val="24"/>
        </w:rPr>
      </w:pPr>
      <w:r>
        <w:rPr>
          <w:rFonts w:ascii="Times New Roman" w:hAnsi="Times New Roman" w:eastAsia="仿宋" w:cs="仿宋"/>
          <w:b/>
          <w:bCs/>
          <w:color w:val="000000" w:themeColor="text1"/>
          <w:kern w:val="0"/>
          <w:sz w:val="24"/>
        </w:rPr>
        <w:br w:type="page"/>
      </w:r>
    </w:p>
    <w:p>
      <w:pPr>
        <w:spacing w:line="400" w:lineRule="exact"/>
        <w:jc w:val="center"/>
        <w:rPr>
          <w:rFonts w:ascii="Times New Roman" w:hAnsi="Times New Roman" w:eastAsia="仿宋" w:cs="仿宋"/>
          <w:color w:val="000000" w:themeColor="text1"/>
          <w:kern w:val="0"/>
          <w:sz w:val="24"/>
        </w:rPr>
      </w:pPr>
      <w:r>
        <w:rPr>
          <w:rFonts w:hint="eastAsia" w:ascii="Times New Roman" w:hAnsi="Times New Roman" w:eastAsia="仿宋" w:cs="仿宋"/>
          <w:b/>
          <w:bCs/>
          <w:color w:val="000000" w:themeColor="text1"/>
          <w:kern w:val="0"/>
          <w:sz w:val="24"/>
        </w:rPr>
        <w:t>课程设置表</w:t>
      </w:r>
    </w:p>
    <w:tbl>
      <w:tblPr>
        <w:tblStyle w:val="19"/>
        <w:tblW w:w="9733"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20"/>
        <w:gridCol w:w="964"/>
        <w:gridCol w:w="1095"/>
        <w:gridCol w:w="3074"/>
        <w:gridCol w:w="440"/>
        <w:gridCol w:w="440"/>
        <w:gridCol w:w="440"/>
        <w:gridCol w:w="440"/>
        <w:gridCol w:w="440"/>
        <w:gridCol w:w="608"/>
        <w:gridCol w:w="593"/>
        <w:gridCol w:w="779"/>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1" w:hRule="exact"/>
          <w:jc w:val="center"/>
        </w:trPr>
        <w:tc>
          <w:tcPr>
            <w:tcW w:w="1384" w:type="dxa"/>
            <w:gridSpan w:val="2"/>
            <w:vMerge w:val="restart"/>
            <w:tcBorders>
              <w:top w:val="double" w:color="auto" w:sz="4" w:space="0"/>
              <w:left w:val="doub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类别</w:t>
            </w:r>
          </w:p>
        </w:tc>
        <w:tc>
          <w:tcPr>
            <w:tcW w:w="1095" w:type="dxa"/>
            <w:vMerge w:val="restart"/>
            <w:tcBorders>
              <w:top w:val="doub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课程编号</w:t>
            </w:r>
          </w:p>
        </w:tc>
        <w:tc>
          <w:tcPr>
            <w:tcW w:w="3074" w:type="dxa"/>
            <w:vMerge w:val="restart"/>
            <w:tcBorders>
              <w:top w:val="doub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课程名称</w:t>
            </w:r>
          </w:p>
        </w:tc>
        <w:tc>
          <w:tcPr>
            <w:tcW w:w="440" w:type="dxa"/>
            <w:vMerge w:val="restart"/>
            <w:tcBorders>
              <w:top w:val="doub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学时</w:t>
            </w:r>
          </w:p>
        </w:tc>
        <w:tc>
          <w:tcPr>
            <w:tcW w:w="440" w:type="dxa"/>
            <w:vMerge w:val="restart"/>
            <w:tcBorders>
              <w:top w:val="doub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学分</w:t>
            </w:r>
          </w:p>
        </w:tc>
        <w:tc>
          <w:tcPr>
            <w:tcW w:w="1320" w:type="dxa"/>
            <w:gridSpan w:val="3"/>
            <w:tcBorders>
              <w:top w:val="doub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spacing w:line="400" w:lineRule="exact"/>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开课学期</w:t>
            </w:r>
          </w:p>
        </w:tc>
        <w:tc>
          <w:tcPr>
            <w:tcW w:w="608" w:type="dxa"/>
            <w:vMerge w:val="restart"/>
            <w:tcBorders>
              <w:top w:val="doub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spacing w:line="400" w:lineRule="exact"/>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考核方式</w:t>
            </w:r>
          </w:p>
        </w:tc>
        <w:tc>
          <w:tcPr>
            <w:tcW w:w="1372" w:type="dxa"/>
            <w:gridSpan w:val="2"/>
            <w:vMerge w:val="restart"/>
            <w:tcBorders>
              <w:top w:val="double" w:color="auto" w:sz="4" w:space="0"/>
              <w:left w:val="single" w:color="auto" w:sz="4" w:space="0"/>
              <w:bottom w:val="single" w:color="auto" w:sz="4" w:space="0"/>
              <w:right w:val="double" w:color="auto" w:sz="4" w:space="0"/>
            </w:tcBorders>
            <w:noWrap/>
            <w:vAlign w:val="center"/>
          </w:tcPr>
          <w:p>
            <w:pPr>
              <w:spacing w:line="400" w:lineRule="exact"/>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备注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384" w:type="dxa"/>
            <w:gridSpan w:val="2"/>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307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spacing w:line="400" w:lineRule="exact"/>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1</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spacing w:line="400" w:lineRule="exact"/>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2</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spacing w:line="400" w:lineRule="exact"/>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3</w:t>
            </w:r>
          </w:p>
        </w:tc>
        <w:tc>
          <w:tcPr>
            <w:tcW w:w="6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1372" w:type="dxa"/>
            <w:gridSpan w:val="2"/>
            <w:vMerge w:val="continue"/>
            <w:tcBorders>
              <w:top w:val="single" w:color="auto" w:sz="4" w:space="0"/>
              <w:left w:val="single" w:color="auto" w:sz="4" w:space="0"/>
              <w:bottom w:val="single" w:color="auto" w:sz="4" w:space="0"/>
              <w:right w:val="doub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restart"/>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学位课</w:t>
            </w:r>
          </w:p>
        </w:tc>
        <w:tc>
          <w:tcPr>
            <w:tcW w:w="9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公共课</w:t>
            </w: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10332004</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基础英语（一）</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64</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2</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1372" w:type="dxa"/>
            <w:gridSpan w:val="2"/>
            <w:vMerge w:val="restart"/>
            <w:tcBorders>
              <w:top w:val="single" w:color="auto" w:sz="4" w:space="0"/>
              <w:left w:val="single" w:color="auto" w:sz="4" w:space="0"/>
              <w:bottom w:val="single" w:color="auto" w:sz="4" w:space="0"/>
              <w:right w:val="double" w:color="auto" w:sz="4" w:space="0"/>
            </w:tcBorders>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7学分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10332005</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基础英语（二）</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64</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2</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1372" w:type="dxa"/>
            <w:gridSpan w:val="2"/>
            <w:vMerge w:val="continue"/>
            <w:tcBorders>
              <w:top w:val="single" w:color="auto" w:sz="4" w:space="0"/>
              <w:left w:val="single" w:color="auto" w:sz="4" w:space="0"/>
              <w:bottom w:val="single" w:color="auto" w:sz="4" w:space="0"/>
              <w:right w:val="double" w:color="auto" w:sz="4" w:space="0"/>
            </w:tcBorders>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2"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10332010</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spacing w:val="-20"/>
                <w:kern w:val="0"/>
                <w:szCs w:val="21"/>
              </w:rPr>
            </w:pPr>
            <w:r>
              <w:rPr>
                <w:rFonts w:hint="eastAsia" w:ascii="Times New Roman" w:hAnsi="Times New Roman" w:eastAsia="仿宋" w:cs="仿宋"/>
                <w:color w:val="000000" w:themeColor="text1"/>
                <w:spacing w:val="-20"/>
                <w:szCs w:val="21"/>
              </w:rPr>
              <w:t>中国特色社会主义理论与实践研究</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32</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2</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1372" w:type="dxa"/>
            <w:gridSpan w:val="2"/>
            <w:vMerge w:val="continue"/>
            <w:tcBorders>
              <w:top w:val="single" w:color="auto" w:sz="4" w:space="0"/>
              <w:left w:val="single" w:color="auto" w:sz="4" w:space="0"/>
              <w:bottom w:val="single" w:color="auto" w:sz="4" w:space="0"/>
              <w:right w:val="double" w:color="auto" w:sz="4" w:space="0"/>
            </w:tcBorders>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10332015</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自然辩证法概论</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16</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1</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1372" w:type="dxa"/>
            <w:gridSpan w:val="2"/>
            <w:vMerge w:val="continue"/>
            <w:tcBorders>
              <w:top w:val="single" w:color="auto" w:sz="4" w:space="0"/>
              <w:left w:val="single" w:color="auto" w:sz="4" w:space="0"/>
              <w:bottom w:val="single" w:color="auto" w:sz="4" w:space="0"/>
              <w:right w:val="double" w:color="auto" w:sz="4" w:space="0"/>
            </w:tcBorders>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学科</w:t>
            </w:r>
          </w:p>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基础课</w:t>
            </w: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07020001</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高等量子力学</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1372" w:type="dxa"/>
            <w:gridSpan w:val="2"/>
            <w:vMerge w:val="restart"/>
            <w:tcBorders>
              <w:top w:val="single" w:color="auto" w:sz="4" w:space="0"/>
              <w:left w:val="single" w:color="auto" w:sz="4" w:space="0"/>
              <w:bottom w:val="single" w:color="auto" w:sz="4" w:space="0"/>
              <w:right w:val="doub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7学分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07020002</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高等统计物理</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1372" w:type="dxa"/>
            <w:gridSpan w:val="2"/>
            <w:vMerge w:val="continue"/>
            <w:tcBorders>
              <w:top w:val="single" w:color="auto" w:sz="4" w:space="0"/>
              <w:left w:val="single" w:color="auto" w:sz="4" w:space="0"/>
              <w:bottom w:val="single" w:color="auto" w:sz="4" w:space="0"/>
              <w:right w:val="double" w:color="auto" w:sz="4" w:space="0"/>
            </w:tcBorders>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07030003</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科技论文写作</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16</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1</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1372" w:type="dxa"/>
            <w:gridSpan w:val="2"/>
            <w:vMerge w:val="continue"/>
            <w:tcBorders>
              <w:top w:val="single" w:color="auto" w:sz="4" w:space="0"/>
              <w:left w:val="single" w:color="auto" w:sz="4" w:space="0"/>
              <w:bottom w:val="single" w:color="auto" w:sz="4" w:space="0"/>
              <w:right w:val="double" w:color="auto" w:sz="4" w:space="0"/>
            </w:tcBorders>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 w:cs="仿宋"/>
                <w:color w:val="000000" w:themeColor="text1"/>
                <w:szCs w:val="21"/>
              </w:rPr>
            </w:pPr>
            <w:r>
              <w:rPr>
                <w:rFonts w:hint="eastAsia" w:ascii="Times New Roman" w:hAnsi="Times New Roman" w:eastAsia="仿宋" w:cs="仿宋"/>
                <w:color w:val="000000" w:themeColor="text1"/>
                <w:szCs w:val="21"/>
              </w:rPr>
              <w:t>专业</w:t>
            </w:r>
          </w:p>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基础课</w:t>
            </w: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07020004</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量子场论</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593" w:type="dxa"/>
            <w:vMerge w:val="restart"/>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01</w:t>
            </w:r>
          </w:p>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方向</w:t>
            </w:r>
          </w:p>
        </w:tc>
        <w:tc>
          <w:tcPr>
            <w:tcW w:w="779" w:type="dxa"/>
            <w:vMerge w:val="restart"/>
            <w:tcBorders>
              <w:top w:val="single" w:color="auto" w:sz="4" w:space="0"/>
              <w:left w:val="single" w:color="auto" w:sz="4" w:space="0"/>
              <w:right w:val="double" w:color="auto" w:sz="4" w:space="0"/>
            </w:tcBorders>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9学分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left w:val="single" w:color="auto" w:sz="4" w:space="0"/>
              <w:right w:val="single" w:color="auto" w:sz="4" w:space="0"/>
            </w:tcBorders>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07020005</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量子光学与量子信息</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593" w:type="dxa"/>
            <w:vMerge w:val="continue"/>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ascii="Times New Roman" w:hAnsi="Times New Roman" w:eastAsia="仿宋" w:cs="仿宋"/>
                <w:color w:val="000000" w:themeColor="text1"/>
                <w:kern w:val="0"/>
                <w:szCs w:val="21"/>
              </w:rPr>
            </w:pPr>
          </w:p>
        </w:tc>
        <w:tc>
          <w:tcPr>
            <w:tcW w:w="779" w:type="dxa"/>
            <w:vMerge w:val="continue"/>
            <w:tcBorders>
              <w:left w:val="single" w:color="auto" w:sz="4" w:space="0"/>
              <w:right w:val="double" w:color="auto" w:sz="4" w:space="0"/>
            </w:tcBorders>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left w:val="single" w:color="auto" w:sz="4" w:space="0"/>
              <w:right w:val="single" w:color="auto" w:sz="4" w:space="0"/>
            </w:tcBorders>
            <w:textDirection w:val="tbRlV"/>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07020006</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量子多体理论</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593"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Times New Roman" w:hAnsi="Times New Roman" w:eastAsia="仿宋" w:cs="仿宋"/>
                <w:color w:val="000000" w:themeColor="text1"/>
                <w:kern w:val="0"/>
                <w:szCs w:val="21"/>
              </w:rPr>
            </w:pPr>
          </w:p>
        </w:tc>
        <w:tc>
          <w:tcPr>
            <w:tcW w:w="779" w:type="dxa"/>
            <w:vMerge w:val="continue"/>
            <w:tcBorders>
              <w:left w:val="single" w:color="auto" w:sz="4" w:space="0"/>
              <w:right w:val="double" w:color="auto" w:sz="4" w:space="0"/>
            </w:tcBorders>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left w:val="single" w:color="auto" w:sz="4" w:space="0"/>
              <w:right w:val="single" w:color="auto" w:sz="4" w:space="0"/>
            </w:tcBorders>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07020007</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固体理论</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593"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02</w:t>
            </w:r>
          </w:p>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方向</w:t>
            </w:r>
          </w:p>
        </w:tc>
        <w:tc>
          <w:tcPr>
            <w:tcW w:w="779" w:type="dxa"/>
            <w:vMerge w:val="continue"/>
            <w:tcBorders>
              <w:left w:val="single" w:color="auto" w:sz="4" w:space="0"/>
              <w:right w:val="double" w:color="auto" w:sz="4" w:space="0"/>
            </w:tcBorders>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left w:val="single" w:color="auto" w:sz="4" w:space="0"/>
              <w:right w:val="single" w:color="auto" w:sz="4" w:space="0"/>
            </w:tcBorders>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07020008</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现代物理实验</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593"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Times New Roman" w:hAnsi="Times New Roman" w:eastAsia="仿宋" w:cs="仿宋"/>
                <w:color w:val="000000" w:themeColor="text1"/>
                <w:kern w:val="0"/>
                <w:szCs w:val="21"/>
              </w:rPr>
            </w:pPr>
          </w:p>
        </w:tc>
        <w:tc>
          <w:tcPr>
            <w:tcW w:w="779" w:type="dxa"/>
            <w:vMerge w:val="continue"/>
            <w:tcBorders>
              <w:left w:val="single" w:color="auto" w:sz="4" w:space="0"/>
              <w:right w:val="double" w:color="auto" w:sz="4" w:space="0"/>
            </w:tcBorders>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left w:val="single" w:color="auto" w:sz="4" w:space="0"/>
              <w:right w:val="single" w:color="auto" w:sz="4" w:space="0"/>
            </w:tcBorders>
            <w:textDirection w:val="tbRlV"/>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07020009</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凝聚态物理导论</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593"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Times New Roman" w:hAnsi="Times New Roman" w:eastAsia="仿宋" w:cs="仿宋"/>
                <w:color w:val="000000" w:themeColor="text1"/>
                <w:kern w:val="0"/>
                <w:szCs w:val="21"/>
              </w:rPr>
            </w:pPr>
          </w:p>
        </w:tc>
        <w:tc>
          <w:tcPr>
            <w:tcW w:w="779" w:type="dxa"/>
            <w:vMerge w:val="continue"/>
            <w:tcBorders>
              <w:left w:val="single" w:color="auto" w:sz="4" w:space="0"/>
              <w:right w:val="double" w:color="auto" w:sz="4" w:space="0"/>
            </w:tcBorders>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left w:val="single" w:color="auto" w:sz="4" w:space="0"/>
              <w:right w:val="single" w:color="auto" w:sz="4" w:space="0"/>
            </w:tcBorders>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07020010</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高等光学</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593"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03</w:t>
            </w:r>
          </w:p>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方向</w:t>
            </w:r>
          </w:p>
        </w:tc>
        <w:tc>
          <w:tcPr>
            <w:tcW w:w="779" w:type="dxa"/>
            <w:vMerge w:val="continue"/>
            <w:tcBorders>
              <w:left w:val="single" w:color="auto" w:sz="4" w:space="0"/>
              <w:right w:val="double" w:color="auto" w:sz="4" w:space="0"/>
            </w:tcBorders>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left w:val="single" w:color="auto" w:sz="4" w:space="0"/>
              <w:right w:val="single" w:color="auto" w:sz="4" w:space="0"/>
            </w:tcBorders>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07020011</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光电子器件与技术</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仿宋"/>
                <w:color w:val="000000" w:themeColor="text1"/>
                <w:kern w:val="0"/>
                <w:szCs w:val="21"/>
              </w:rPr>
            </w:pPr>
          </w:p>
        </w:tc>
        <w:tc>
          <w:tcPr>
            <w:tcW w:w="779" w:type="dxa"/>
            <w:vMerge w:val="continue"/>
            <w:tcBorders>
              <w:left w:val="single" w:color="auto" w:sz="4" w:space="0"/>
              <w:right w:val="double" w:color="auto" w:sz="4" w:space="0"/>
            </w:tcBorders>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left w:val="single" w:color="auto" w:sz="4" w:space="0"/>
              <w:bottom w:val="single" w:color="auto" w:sz="4" w:space="0"/>
              <w:right w:val="single" w:color="auto" w:sz="4" w:space="0"/>
            </w:tcBorders>
            <w:textDirection w:val="tbRlV"/>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07020012</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非线性光学</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仿宋"/>
                <w:color w:val="000000" w:themeColor="text1"/>
                <w:kern w:val="0"/>
                <w:szCs w:val="21"/>
              </w:rPr>
            </w:pPr>
          </w:p>
        </w:tc>
        <w:tc>
          <w:tcPr>
            <w:tcW w:w="779" w:type="dxa"/>
            <w:vMerge w:val="continue"/>
            <w:tcBorders>
              <w:left w:val="single" w:color="auto" w:sz="4" w:space="0"/>
              <w:bottom w:val="single" w:color="auto" w:sz="4" w:space="0"/>
              <w:right w:val="double" w:color="auto" w:sz="4" w:space="0"/>
            </w:tcBorders>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73" w:hRule="exact"/>
          <w:jc w:val="center"/>
        </w:trPr>
        <w:tc>
          <w:tcPr>
            <w:tcW w:w="420" w:type="dxa"/>
            <w:vMerge w:val="restart"/>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非学位课</w:t>
            </w:r>
          </w:p>
        </w:tc>
        <w:tc>
          <w:tcPr>
            <w:tcW w:w="9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仿宋"/>
                <w:color w:val="000000" w:themeColor="text1"/>
                <w:szCs w:val="21"/>
              </w:rPr>
            </w:pPr>
            <w:r>
              <w:rPr>
                <w:rFonts w:hint="eastAsia" w:ascii="Times New Roman" w:hAnsi="Times New Roman" w:eastAsia="仿宋" w:cs="仿宋"/>
                <w:color w:val="000000" w:themeColor="text1"/>
                <w:szCs w:val="21"/>
              </w:rPr>
              <w:t>选</w:t>
            </w:r>
          </w:p>
          <w:p>
            <w:pPr>
              <w:jc w:val="center"/>
              <w:rPr>
                <w:rFonts w:ascii="Times New Roman" w:hAnsi="Times New Roman" w:eastAsia="仿宋" w:cs="仿宋"/>
                <w:color w:val="000000" w:themeColor="text1"/>
                <w:szCs w:val="21"/>
              </w:rPr>
            </w:pPr>
            <w:r>
              <w:rPr>
                <w:rFonts w:hint="eastAsia" w:ascii="Times New Roman" w:hAnsi="Times New Roman" w:eastAsia="仿宋" w:cs="仿宋"/>
                <w:color w:val="000000" w:themeColor="text1"/>
                <w:szCs w:val="21"/>
              </w:rPr>
              <w:t>修</w:t>
            </w:r>
          </w:p>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课</w:t>
            </w: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公选课：详见校研究生公共选修课目录</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32</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2</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1372" w:type="dxa"/>
            <w:gridSpan w:val="2"/>
            <w:tcBorders>
              <w:top w:val="single" w:color="auto" w:sz="4" w:space="0"/>
              <w:left w:val="single" w:color="auto" w:sz="4" w:space="0"/>
              <w:bottom w:val="single" w:color="auto" w:sz="4" w:space="0"/>
              <w:right w:val="double" w:color="auto" w:sz="4" w:space="0"/>
            </w:tcBorders>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2学分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07020013</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材料制备与表征</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1372" w:type="dxa"/>
            <w:gridSpan w:val="2"/>
            <w:vMerge w:val="restart"/>
            <w:tcBorders>
              <w:top w:val="single" w:color="auto" w:sz="4" w:space="0"/>
              <w:left w:val="single" w:color="auto" w:sz="4" w:space="0"/>
              <w:right w:val="double" w:color="auto" w:sz="4" w:space="0"/>
            </w:tcBorders>
            <w:shd w:val="clear" w:color="auto" w:fill="auto"/>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至少</w:t>
            </w:r>
          </w:p>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7学分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07020014</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物理学前沿讲座</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16</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1</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考查</w:t>
            </w:r>
          </w:p>
        </w:tc>
        <w:tc>
          <w:tcPr>
            <w:tcW w:w="1372" w:type="dxa"/>
            <w:gridSpan w:val="2"/>
            <w:vMerge w:val="continue"/>
            <w:tcBorders>
              <w:left w:val="single" w:color="auto" w:sz="4" w:space="0"/>
              <w:right w:val="double" w:color="auto" w:sz="4" w:space="0"/>
            </w:tcBorders>
            <w:shd w:val="clear" w:color="auto" w:fill="auto"/>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07020015</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群论</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1372" w:type="dxa"/>
            <w:gridSpan w:val="2"/>
            <w:vMerge w:val="continue"/>
            <w:tcBorders>
              <w:left w:val="single" w:color="auto" w:sz="4" w:space="0"/>
              <w:right w:val="double" w:color="auto" w:sz="4" w:space="0"/>
            </w:tcBorders>
            <w:shd w:val="clear" w:color="auto" w:fill="auto"/>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07020016</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高等电动力学</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1372" w:type="dxa"/>
            <w:gridSpan w:val="2"/>
            <w:vMerge w:val="continue"/>
            <w:tcBorders>
              <w:left w:val="single" w:color="auto" w:sz="4" w:space="0"/>
              <w:right w:val="double" w:color="auto" w:sz="4" w:space="0"/>
            </w:tcBorders>
            <w:shd w:val="clear" w:color="auto" w:fill="auto"/>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07020017</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半导体器件物理</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1372" w:type="dxa"/>
            <w:gridSpan w:val="2"/>
            <w:vMerge w:val="continue"/>
            <w:tcBorders>
              <w:left w:val="single" w:color="auto" w:sz="4" w:space="0"/>
              <w:right w:val="double" w:color="auto" w:sz="4" w:space="0"/>
            </w:tcBorders>
            <w:shd w:val="clear" w:color="auto" w:fill="auto"/>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07020018</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计算物理</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1372" w:type="dxa"/>
            <w:gridSpan w:val="2"/>
            <w:vMerge w:val="continue"/>
            <w:tcBorders>
              <w:left w:val="single" w:color="auto" w:sz="4" w:space="0"/>
              <w:right w:val="double" w:color="auto" w:sz="4" w:space="0"/>
            </w:tcBorders>
            <w:shd w:val="clear" w:color="auto" w:fill="auto"/>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07020019</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介观物理</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48</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3</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w:t>
            </w: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考试</w:t>
            </w:r>
          </w:p>
        </w:tc>
        <w:tc>
          <w:tcPr>
            <w:tcW w:w="1372" w:type="dxa"/>
            <w:gridSpan w:val="2"/>
            <w:vMerge w:val="continue"/>
            <w:tcBorders>
              <w:left w:val="single" w:color="auto" w:sz="4" w:space="0"/>
              <w:bottom w:val="single" w:color="auto" w:sz="4" w:space="0"/>
              <w:right w:val="double" w:color="auto" w:sz="4" w:space="0"/>
            </w:tcBorders>
            <w:shd w:val="clear" w:color="auto" w:fill="auto"/>
            <w:vAlign w:val="center"/>
          </w:tcPr>
          <w:p>
            <w:pPr>
              <w:jc w:val="center"/>
              <w:rPr>
                <w:rFonts w:ascii="Times New Roman" w:hAnsi="Times New Roman" w:eastAsia="仿宋" w:cs="仿宋"/>
                <w:color w:val="000000" w:themeColor="text1"/>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仿宋"/>
                <w:color w:val="000000" w:themeColor="text1"/>
                <w:szCs w:val="21"/>
              </w:rPr>
            </w:pPr>
            <w:r>
              <w:rPr>
                <w:rFonts w:hint="eastAsia" w:ascii="Times New Roman" w:hAnsi="Times New Roman" w:eastAsia="仿宋" w:cs="仿宋"/>
                <w:color w:val="000000" w:themeColor="text1"/>
                <w:szCs w:val="21"/>
              </w:rPr>
              <w:t>必修</w:t>
            </w:r>
          </w:p>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环节</w:t>
            </w:r>
          </w:p>
        </w:tc>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10332012</w:t>
            </w:r>
          </w:p>
        </w:tc>
        <w:tc>
          <w:tcPr>
            <w:tcW w:w="30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学术活动</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1</w:t>
            </w: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考查</w:t>
            </w:r>
          </w:p>
        </w:tc>
        <w:tc>
          <w:tcPr>
            <w:tcW w:w="1372" w:type="dxa"/>
            <w:gridSpan w:val="2"/>
            <w:vMerge w:val="restart"/>
            <w:tcBorders>
              <w:top w:val="single" w:color="auto" w:sz="4" w:space="0"/>
              <w:left w:val="single" w:color="auto" w:sz="4" w:space="0"/>
              <w:right w:val="double" w:color="auto" w:sz="4" w:space="0"/>
            </w:tcBorders>
            <w:shd w:val="clear" w:color="auto" w:fill="auto"/>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kern w:val="0"/>
                <w:szCs w:val="21"/>
              </w:rPr>
              <w:t>2学分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420" w:type="dxa"/>
            <w:vMerge w:val="continue"/>
            <w:tcBorders>
              <w:top w:val="single" w:color="auto" w:sz="4" w:space="0"/>
              <w:left w:val="double" w:color="auto" w:sz="4" w:space="0"/>
              <w:bottom w:val="double" w:color="auto" w:sz="4" w:space="0"/>
              <w:right w:val="single" w:color="auto" w:sz="4" w:space="0"/>
            </w:tcBorders>
            <w:vAlign w:val="center"/>
          </w:tcPr>
          <w:p>
            <w:pPr>
              <w:spacing w:line="400" w:lineRule="exact"/>
              <w:jc w:val="center"/>
              <w:rPr>
                <w:rFonts w:ascii="Times New Roman" w:hAnsi="Times New Roman" w:eastAsia="仿宋" w:cs="仿宋"/>
                <w:color w:val="000000" w:themeColor="text1"/>
                <w:kern w:val="0"/>
                <w:szCs w:val="21"/>
              </w:rPr>
            </w:pPr>
          </w:p>
        </w:tc>
        <w:tc>
          <w:tcPr>
            <w:tcW w:w="964" w:type="dxa"/>
            <w:vMerge w:val="continue"/>
            <w:tcBorders>
              <w:top w:val="single" w:color="auto" w:sz="4" w:space="0"/>
              <w:left w:val="single" w:color="auto" w:sz="4" w:space="0"/>
              <w:bottom w:val="double" w:color="auto" w:sz="4" w:space="0"/>
              <w:right w:val="single" w:color="auto" w:sz="4" w:space="0"/>
            </w:tcBorders>
            <w:vAlign w:val="center"/>
          </w:tcPr>
          <w:p>
            <w:pPr>
              <w:jc w:val="center"/>
              <w:rPr>
                <w:rFonts w:ascii="Times New Roman" w:hAnsi="Times New Roman" w:eastAsia="仿宋" w:cs="仿宋"/>
                <w:color w:val="000000" w:themeColor="text1"/>
                <w:kern w:val="0"/>
                <w:szCs w:val="21"/>
              </w:rPr>
            </w:pPr>
          </w:p>
        </w:tc>
        <w:tc>
          <w:tcPr>
            <w:tcW w:w="1095" w:type="dxa"/>
            <w:tcBorders>
              <w:top w:val="single" w:color="auto" w:sz="4" w:space="0"/>
              <w:left w:val="single" w:color="auto" w:sz="4" w:space="0"/>
              <w:bottom w:val="doub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10332013</w:t>
            </w:r>
          </w:p>
        </w:tc>
        <w:tc>
          <w:tcPr>
            <w:tcW w:w="3074" w:type="dxa"/>
            <w:tcBorders>
              <w:top w:val="single" w:color="auto" w:sz="4" w:space="0"/>
              <w:left w:val="single" w:color="auto" w:sz="4" w:space="0"/>
              <w:bottom w:val="double" w:color="auto" w:sz="4" w:space="0"/>
              <w:right w:val="single" w:color="auto" w:sz="4" w:space="0"/>
            </w:tcBorders>
            <w:noWrap/>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实践活动</w:t>
            </w:r>
          </w:p>
        </w:tc>
        <w:tc>
          <w:tcPr>
            <w:tcW w:w="440" w:type="dxa"/>
            <w:tcBorders>
              <w:top w:val="single" w:color="auto" w:sz="4" w:space="0"/>
              <w:left w:val="single" w:color="auto" w:sz="4" w:space="0"/>
              <w:bottom w:val="doub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doub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1</w:t>
            </w:r>
          </w:p>
        </w:tc>
        <w:tc>
          <w:tcPr>
            <w:tcW w:w="440" w:type="dxa"/>
            <w:tcBorders>
              <w:top w:val="single" w:color="auto" w:sz="4" w:space="0"/>
              <w:left w:val="single" w:color="auto" w:sz="4" w:space="0"/>
              <w:bottom w:val="doub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doub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440" w:type="dxa"/>
            <w:tcBorders>
              <w:top w:val="single" w:color="auto" w:sz="4" w:space="0"/>
              <w:left w:val="single" w:color="auto" w:sz="4" w:space="0"/>
              <w:bottom w:val="doub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p>
        </w:tc>
        <w:tc>
          <w:tcPr>
            <w:tcW w:w="608" w:type="dxa"/>
            <w:tcBorders>
              <w:top w:val="single" w:color="auto" w:sz="4" w:space="0"/>
              <w:left w:val="single" w:color="auto" w:sz="4" w:space="0"/>
              <w:bottom w:val="double" w:color="auto" w:sz="4" w:space="0"/>
              <w:right w:val="single" w:color="auto" w:sz="4" w:space="0"/>
            </w:tcBorders>
            <w:noWrap/>
            <w:tcMar>
              <w:top w:w="0" w:type="dxa"/>
              <w:left w:w="28" w:type="dxa"/>
              <w:bottom w:w="0" w:type="dxa"/>
              <w:right w:w="28" w:type="dxa"/>
            </w:tcMar>
            <w:vAlign w:val="center"/>
          </w:tcPr>
          <w:p>
            <w:pPr>
              <w:jc w:val="center"/>
              <w:rPr>
                <w:rFonts w:ascii="Times New Roman" w:hAnsi="Times New Roman" w:eastAsia="仿宋" w:cs="仿宋"/>
                <w:color w:val="000000" w:themeColor="text1"/>
                <w:kern w:val="0"/>
                <w:szCs w:val="21"/>
              </w:rPr>
            </w:pPr>
            <w:r>
              <w:rPr>
                <w:rFonts w:hint="eastAsia" w:ascii="Times New Roman" w:hAnsi="Times New Roman" w:eastAsia="仿宋" w:cs="仿宋"/>
                <w:color w:val="000000" w:themeColor="text1"/>
                <w:szCs w:val="21"/>
              </w:rPr>
              <w:t>考查</w:t>
            </w:r>
          </w:p>
        </w:tc>
        <w:tc>
          <w:tcPr>
            <w:tcW w:w="1372" w:type="dxa"/>
            <w:gridSpan w:val="2"/>
            <w:vMerge w:val="continue"/>
            <w:tcBorders>
              <w:left w:val="single" w:color="auto" w:sz="4" w:space="0"/>
              <w:bottom w:val="double" w:color="auto" w:sz="4" w:space="0"/>
              <w:right w:val="double" w:color="auto" w:sz="4" w:space="0"/>
            </w:tcBorders>
            <w:shd w:val="clear" w:color="auto" w:fill="auto"/>
            <w:vAlign w:val="center"/>
          </w:tcPr>
          <w:p>
            <w:pPr>
              <w:jc w:val="center"/>
              <w:rPr>
                <w:rFonts w:ascii="Times New Roman" w:hAnsi="Times New Roman" w:eastAsia="仿宋" w:cs="仿宋"/>
                <w:color w:val="000000" w:themeColor="text1"/>
                <w:kern w:val="0"/>
                <w:szCs w:val="21"/>
              </w:rPr>
            </w:pPr>
          </w:p>
        </w:tc>
      </w:tr>
    </w:tbl>
    <w:p>
      <w:pPr>
        <w:spacing w:line="400" w:lineRule="exact"/>
        <w:ind w:firstLine="482" w:firstLineChars="200"/>
        <w:rPr>
          <w:rFonts w:ascii="Times New Roman" w:hAnsi="Times New Roman" w:eastAsia="仿宋" w:cs="仿宋"/>
          <w:b/>
          <w:color w:val="000000" w:themeColor="text1"/>
          <w:sz w:val="24"/>
        </w:rPr>
      </w:pPr>
      <w:r>
        <w:rPr>
          <w:rFonts w:hint="eastAsia" w:ascii="Times New Roman" w:hAnsi="Times New Roman" w:eastAsia="仿宋" w:cs="仿宋"/>
          <w:b/>
          <w:color w:val="000000" w:themeColor="text1"/>
          <w:sz w:val="24"/>
        </w:rPr>
        <w:t>（二）课程要求</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必修环节包括学术报告、实践活动共</w:t>
      </w:r>
      <w:r>
        <w:rPr>
          <w:rFonts w:hint="eastAsia" w:ascii="Times New Roman" w:hAnsi="Times New Roman" w:eastAsia="仿宋" w:cs="仿宋"/>
          <w:b/>
          <w:bCs/>
          <w:color w:val="000000" w:themeColor="text1"/>
          <w:kern w:val="0"/>
          <w:sz w:val="24"/>
        </w:rPr>
        <w:t>2</w:t>
      </w:r>
      <w:r>
        <w:rPr>
          <w:rFonts w:hint="eastAsia" w:ascii="Times New Roman" w:hAnsi="Times New Roman" w:eastAsia="仿宋" w:cs="仿宋"/>
          <w:color w:val="000000" w:themeColor="text1"/>
          <w:kern w:val="0"/>
          <w:sz w:val="24"/>
        </w:rPr>
        <w:t>学分。</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学术报告：研究生应积极参加学术研讨和学术报告会，拓宽学术视野，了解学科前沿的发展。学术报告计</w:t>
      </w:r>
      <w:r>
        <w:rPr>
          <w:rFonts w:hint="eastAsia" w:ascii="Times New Roman" w:hAnsi="Times New Roman" w:eastAsia="仿宋" w:cs="仿宋"/>
          <w:b/>
          <w:bCs/>
          <w:color w:val="000000" w:themeColor="text1"/>
          <w:kern w:val="0"/>
          <w:sz w:val="24"/>
        </w:rPr>
        <w:t>1</w:t>
      </w:r>
      <w:r>
        <w:rPr>
          <w:rFonts w:hint="eastAsia" w:ascii="Times New Roman" w:hAnsi="Times New Roman" w:eastAsia="仿宋" w:cs="仿宋"/>
          <w:color w:val="000000" w:themeColor="text1"/>
          <w:kern w:val="0"/>
          <w:sz w:val="24"/>
        </w:rPr>
        <w:t xml:space="preserve">学分。 </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实践活动：研究生应至少承担一个学期的助教工作及安排的其它实践活动。实践活动计</w:t>
      </w:r>
      <w:r>
        <w:rPr>
          <w:rFonts w:hint="eastAsia" w:ascii="Times New Roman" w:hAnsi="Times New Roman" w:eastAsia="仿宋" w:cs="仿宋"/>
          <w:b/>
          <w:bCs/>
          <w:color w:val="000000" w:themeColor="text1"/>
          <w:kern w:val="0"/>
          <w:sz w:val="24"/>
        </w:rPr>
        <w:t>1</w:t>
      </w:r>
      <w:r>
        <w:rPr>
          <w:rFonts w:hint="eastAsia" w:ascii="Times New Roman" w:hAnsi="Times New Roman" w:eastAsia="仿宋" w:cs="仿宋"/>
          <w:color w:val="000000" w:themeColor="text1"/>
          <w:kern w:val="0"/>
          <w:sz w:val="24"/>
        </w:rPr>
        <w:t>学分。</w:t>
      </w:r>
    </w:p>
    <w:p>
      <w:pPr>
        <w:spacing w:line="400" w:lineRule="exact"/>
        <w:ind w:firstLine="482" w:firstLineChars="200"/>
        <w:rPr>
          <w:rFonts w:ascii="Times New Roman" w:hAnsi="Times New Roman" w:eastAsia="仿宋" w:cs="仿宋"/>
          <w:b/>
          <w:color w:val="000000" w:themeColor="text1"/>
          <w:sz w:val="24"/>
        </w:rPr>
      </w:pPr>
      <w:r>
        <w:rPr>
          <w:rFonts w:hint="eastAsia" w:ascii="Times New Roman" w:hAnsi="Times New Roman" w:eastAsia="仿宋" w:cs="仿宋"/>
          <w:b/>
          <w:color w:val="000000" w:themeColor="text1"/>
          <w:sz w:val="24"/>
        </w:rPr>
        <w:t>（三）教学安排</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第一、二、三学期主要是基础课及专业课等的学习，第四学期经中期考核（具体按照《苏州科技大学中期考核办法（试行）》执行）合格后，开展学位论文相关工作。第四、五、六学期主要用于完成学位论文，必修环节（学术活动、实践活动）原则上贯穿于整个学习过程。</w:t>
      </w:r>
    </w:p>
    <w:p>
      <w:pPr>
        <w:spacing w:beforeLines="50" w:afterLines="50" w:line="400" w:lineRule="exact"/>
        <w:rPr>
          <w:rFonts w:ascii="Times New Roman" w:hAnsi="Times New Roman" w:eastAsia="仿宋" w:cs="仿宋"/>
          <w:b/>
          <w:color w:val="000000" w:themeColor="text1"/>
          <w:sz w:val="28"/>
          <w:szCs w:val="28"/>
        </w:rPr>
      </w:pPr>
      <w:r>
        <w:rPr>
          <w:rFonts w:hint="eastAsia" w:ascii="Times New Roman" w:hAnsi="Times New Roman" w:eastAsia="仿宋" w:cs="仿宋"/>
          <w:b/>
          <w:color w:val="000000" w:themeColor="text1"/>
          <w:sz w:val="28"/>
          <w:szCs w:val="28"/>
        </w:rPr>
        <w:t>八、学术成果要求</w:t>
      </w:r>
    </w:p>
    <w:p>
      <w:pPr>
        <w:spacing w:line="400" w:lineRule="exact"/>
        <w:ind w:firstLine="482" w:firstLineChars="200"/>
        <w:rPr>
          <w:rFonts w:ascii="Times New Roman" w:hAnsi="Times New Roman" w:eastAsia="仿宋" w:cs="仿宋"/>
          <w:b/>
          <w:color w:val="000000" w:themeColor="text1"/>
          <w:kern w:val="0"/>
          <w:sz w:val="24"/>
        </w:rPr>
      </w:pPr>
      <w:r>
        <w:rPr>
          <w:rFonts w:hint="eastAsia" w:ascii="Times New Roman" w:hAnsi="Times New Roman" w:eastAsia="仿宋" w:cs="仿宋"/>
          <w:b/>
          <w:color w:val="000000" w:themeColor="text1"/>
          <w:kern w:val="0"/>
          <w:sz w:val="24"/>
        </w:rPr>
        <w:t>（一）研究生在提出学位申请时，其相关学术论文成果须达到如下要求之一：</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bCs/>
          <w:color w:val="000000" w:themeColor="text1"/>
          <w:kern w:val="0"/>
          <w:sz w:val="24"/>
        </w:rPr>
        <w:t>1</w:t>
      </w:r>
      <w:r>
        <w:rPr>
          <w:rFonts w:hint="eastAsia" w:ascii="Times New Roman" w:hAnsi="Times New Roman" w:eastAsia="仿宋" w:cs="仿宋"/>
          <w:color w:val="000000" w:themeColor="text1"/>
          <w:kern w:val="0"/>
          <w:sz w:val="24"/>
        </w:rPr>
        <w:t>.以第一作者在核心期刊上发表（含录用）学术论文至少</w:t>
      </w:r>
      <w:r>
        <w:rPr>
          <w:rFonts w:hint="eastAsia" w:ascii="Times New Roman" w:hAnsi="Times New Roman" w:eastAsia="仿宋" w:cs="仿宋"/>
          <w:b/>
          <w:bCs/>
          <w:color w:val="000000" w:themeColor="text1"/>
          <w:kern w:val="0"/>
          <w:sz w:val="24"/>
        </w:rPr>
        <w:t>1</w:t>
      </w:r>
      <w:r>
        <w:rPr>
          <w:rFonts w:hint="eastAsia" w:ascii="Times New Roman" w:hAnsi="Times New Roman" w:eastAsia="仿宋" w:cs="仿宋"/>
          <w:color w:val="000000" w:themeColor="text1"/>
          <w:kern w:val="0"/>
          <w:sz w:val="24"/>
        </w:rPr>
        <w:t xml:space="preserve">篇； </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bCs/>
          <w:color w:val="000000" w:themeColor="text1"/>
          <w:kern w:val="0"/>
          <w:sz w:val="24"/>
        </w:rPr>
        <w:t>2</w:t>
      </w:r>
      <w:r>
        <w:rPr>
          <w:rFonts w:hint="eastAsia" w:ascii="Times New Roman" w:hAnsi="Times New Roman" w:eastAsia="仿宋" w:cs="仿宋"/>
          <w:color w:val="000000" w:themeColor="text1"/>
          <w:kern w:val="0"/>
          <w:sz w:val="24"/>
        </w:rPr>
        <w:t>.以第二作者在核心期刊上发表（含录用）学术论文</w:t>
      </w:r>
      <w:r>
        <w:rPr>
          <w:rFonts w:hint="eastAsia" w:ascii="Times New Roman" w:hAnsi="Times New Roman" w:eastAsia="仿宋" w:cs="仿宋"/>
          <w:b/>
          <w:bCs/>
          <w:color w:val="000000" w:themeColor="text1"/>
          <w:kern w:val="0"/>
          <w:sz w:val="24"/>
        </w:rPr>
        <w:t>1</w:t>
      </w:r>
      <w:r>
        <w:rPr>
          <w:rFonts w:hint="eastAsia" w:ascii="Times New Roman" w:hAnsi="Times New Roman" w:eastAsia="仿宋" w:cs="仿宋"/>
          <w:color w:val="000000" w:themeColor="text1"/>
          <w:kern w:val="0"/>
          <w:sz w:val="24"/>
        </w:rPr>
        <w:t>篇（第一作者为导师），同时在省级以上学术刊物上以第一作者发表（含录用）学术论文至少</w:t>
      </w:r>
      <w:r>
        <w:rPr>
          <w:rFonts w:hint="eastAsia" w:ascii="Times New Roman" w:hAnsi="Times New Roman" w:eastAsia="仿宋" w:cs="仿宋"/>
          <w:b/>
          <w:bCs/>
          <w:color w:val="000000" w:themeColor="text1"/>
          <w:kern w:val="0"/>
          <w:sz w:val="24"/>
        </w:rPr>
        <w:t>1</w:t>
      </w:r>
      <w:r>
        <w:rPr>
          <w:rFonts w:hint="eastAsia" w:ascii="Times New Roman" w:hAnsi="Times New Roman" w:eastAsia="仿宋" w:cs="仿宋"/>
          <w:color w:val="000000" w:themeColor="text1"/>
          <w:kern w:val="0"/>
          <w:sz w:val="24"/>
        </w:rPr>
        <w:t>篇。</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发表的学术论文均须以苏州科技大学为第一署名单位。核心期刊是指CSCD核心期刊目录、CSSCI核心期刊目录、北大中文核心期刊要目总览、学科评估指标体系补充期刊；被SCI、SCIE、SSCI、EI、A&amp;HCI期刊收录的论文视同在核心期刊上发表，《苏州科技大学学报》视同核心期刊；学术论文级别的认定以论文录用当年的适用目录为准；在增刊、专刊、会议论文集发表论文不能作为申请学位的成果材料。</w:t>
      </w:r>
    </w:p>
    <w:p>
      <w:pPr>
        <w:spacing w:line="400" w:lineRule="exact"/>
        <w:ind w:firstLine="482" w:firstLineChars="200"/>
        <w:rPr>
          <w:rFonts w:ascii="Times New Roman" w:hAnsi="Times New Roman" w:eastAsia="仿宋" w:cs="仿宋"/>
          <w:b/>
          <w:color w:val="000000" w:themeColor="text1"/>
          <w:kern w:val="0"/>
          <w:sz w:val="24"/>
        </w:rPr>
      </w:pPr>
      <w:r>
        <w:rPr>
          <w:rFonts w:hint="eastAsia" w:ascii="Times New Roman" w:hAnsi="Times New Roman" w:eastAsia="仿宋" w:cs="仿宋"/>
          <w:b/>
          <w:color w:val="000000" w:themeColor="text1"/>
          <w:kern w:val="0"/>
          <w:sz w:val="24"/>
        </w:rPr>
        <w:t>（二）申请学位时，支撑材料要求如下：</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1.研究生以学术论文形式提出学位申请时，须提交相关学术论文成果的期刊原件（审核后返还）和复印件（包括封面、目录、论文全文、封底），或录用通知单原件和论文稿；对于持“录用通知单”的学术论文，应在该学术论文发表后，补充成果支撑材料，由学院及时汇总归档；</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2.学术成果存在弄虚作假，或仅以“录用通知单”作为申请学位条件但两年内论文仍未发表的，经校学位评定委员会批准，撤销其已授学位。</w:t>
      </w:r>
    </w:p>
    <w:p>
      <w:pPr>
        <w:spacing w:line="400" w:lineRule="exact"/>
        <w:ind w:firstLine="482" w:firstLineChars="200"/>
        <w:rPr>
          <w:rFonts w:ascii="Times New Roman" w:hAnsi="Times New Roman" w:eastAsia="仿宋" w:cs="仿宋"/>
          <w:b/>
          <w:color w:val="000000" w:themeColor="text1"/>
          <w:sz w:val="24"/>
        </w:rPr>
      </w:pPr>
      <w:r>
        <w:rPr>
          <w:rFonts w:hint="eastAsia" w:ascii="Times New Roman" w:hAnsi="Times New Roman" w:eastAsia="仿宋" w:cs="仿宋"/>
          <w:b/>
          <w:color w:val="000000" w:themeColor="text1"/>
          <w:sz w:val="24"/>
        </w:rPr>
        <w:t>（三）申请提前毕业的基本要求</w:t>
      </w:r>
    </w:p>
    <w:p>
      <w:pPr>
        <w:spacing w:line="400" w:lineRule="exact"/>
        <w:ind w:firstLine="480" w:firstLineChars="200"/>
        <w:rPr>
          <w:rFonts w:ascii="Times New Roman" w:hAnsi="Times New Roman" w:eastAsia="仿宋" w:cs="仿宋"/>
          <w:color w:val="000000" w:themeColor="text1"/>
          <w:sz w:val="24"/>
        </w:rPr>
      </w:pPr>
      <w:r>
        <w:rPr>
          <w:rFonts w:hint="eastAsia" w:ascii="Times New Roman" w:hAnsi="Times New Roman" w:eastAsia="仿宋" w:cs="仿宋"/>
          <w:color w:val="000000" w:themeColor="text1"/>
          <w:sz w:val="24"/>
        </w:rPr>
        <w:t>申请提前毕业的硕士研究生,需以第一作者发表SCI论文（当年中科院分区一区或二区）两篇及以上，或在物理学TOP一区刊物上发表论文1篇，硕士学位论文完成，经导师同意，可向学院学位委员会申请提前毕业，学院学位委员会将根据学校相关规定进行初步审核，并报送研究生部审批。</w:t>
      </w:r>
    </w:p>
    <w:p>
      <w:pPr>
        <w:spacing w:beforeLines="50" w:afterLines="50" w:line="400" w:lineRule="exact"/>
        <w:rPr>
          <w:rFonts w:ascii="Times New Roman" w:hAnsi="Times New Roman" w:eastAsia="仿宋" w:cs="仿宋"/>
          <w:b/>
          <w:color w:val="000000" w:themeColor="text1"/>
          <w:sz w:val="28"/>
          <w:szCs w:val="28"/>
        </w:rPr>
      </w:pPr>
      <w:r>
        <w:rPr>
          <w:rFonts w:hint="eastAsia" w:ascii="Times New Roman" w:hAnsi="Times New Roman" w:eastAsia="仿宋" w:cs="仿宋"/>
          <w:b/>
          <w:color w:val="000000" w:themeColor="text1"/>
          <w:sz w:val="28"/>
          <w:szCs w:val="28"/>
        </w:rPr>
        <w:t>九、学位论文要求</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学位论文是研究生培养工作的重要环节，包括论文的选题、开题报告、撰写、中期检查、预答辩、评阅、答辩等具体环节。</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硕士学位论文应是本人在导师指导下独立完成。学位论文应是有创新点、有理论价值或应用价值的研究成果，能反映作者对本学科方向的理论知识掌握的全面性；论文要有一定的工作量，在论文题目确定后，用于论文工作的时间不少于一年。</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论文要求表达准确、条理清晰、层次分明、文字通顺、格式与图标规范、数据准确可靠、论证周详严谨、结论正确可信，书写必须符合《苏州科技大学硕士学位论文基本格式及相关要求》。论文答辩按照《中华人民共和国学位条例暂行实施办法》和《苏州科技大学硕士学位授予工作细则》进行。</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学位论文是研究生培养质量的重要标志，其中创新成果和研究过程的规范性是衡量学位论文质量的两个标志，具体有以下几个方面：</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学习与研究计划：考察该生能否及时确定其研究课题以及研究计划的可行性；</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开题报告：考察研究生的文献收集与查阅、整理、综述和研究设计能力，以及对相关研究水平的了解程度；</w:t>
      </w:r>
    </w:p>
    <w:p>
      <w:pPr>
        <w:spacing w:line="400" w:lineRule="exact"/>
        <w:ind w:firstLine="480" w:firstLineChars="200"/>
        <w:rPr>
          <w:rFonts w:ascii="Times New Roman" w:hAnsi="Times New Roman" w:eastAsia="仿宋" w:cs="仿宋"/>
          <w:color w:val="000000" w:themeColor="text1"/>
          <w:kern w:val="0"/>
          <w:sz w:val="24"/>
        </w:rPr>
      </w:pPr>
      <w:r>
        <w:rPr>
          <w:rFonts w:hint="eastAsia" w:ascii="Times New Roman" w:hAnsi="Times New Roman" w:eastAsia="仿宋" w:cs="仿宋"/>
          <w:color w:val="000000" w:themeColor="text1"/>
          <w:kern w:val="0"/>
          <w:sz w:val="24"/>
        </w:rPr>
        <w:t>论文答辩：主要考察论文选题与综述、研究设计与成果、论文写作的逻辑性、规范性、创新性、完整性和工作量的饱和性等；</w:t>
      </w:r>
    </w:p>
    <w:p>
      <w:pPr>
        <w:spacing w:line="400" w:lineRule="exact"/>
        <w:ind w:firstLine="480" w:firstLineChars="200"/>
        <w:rPr>
          <w:rFonts w:hAnsi="华文仿宋" w:eastAsia="华文仿宋"/>
          <w:sz w:val="24"/>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仿宋" w:cs="仿宋"/>
          <w:color w:val="000000" w:themeColor="text1"/>
          <w:kern w:val="0"/>
          <w:sz w:val="24"/>
        </w:rPr>
        <w:t>发表成果：结合已发表成果的质量与数量，考察研究生研究成果的价值与被认可度，用以佐证该生课题研究的质量。</w:t>
      </w:r>
    </w:p>
    <w:bookmarkEnd w:id="9"/>
    <w:bookmarkEnd w:id="10"/>
    <w:bookmarkEnd w:id="11"/>
    <w:bookmarkEnd w:id="12"/>
    <w:p>
      <w:pPr>
        <w:pStyle w:val="2"/>
        <w:jc w:val="center"/>
        <w:rPr>
          <w:rFonts w:eastAsia="仿宋"/>
          <w:color w:val="000000" w:themeColor="text1"/>
          <w:sz w:val="28"/>
          <w:szCs w:val="28"/>
        </w:rPr>
      </w:pPr>
      <w:bookmarkStart w:id="13" w:name="_Toc20811_WPSOffice_Level1"/>
      <w:r>
        <w:rPr>
          <w:rFonts w:hint="eastAsia" w:eastAsia="仿宋"/>
          <w:color w:val="000000" w:themeColor="text1"/>
          <w:sz w:val="28"/>
          <w:szCs w:val="28"/>
        </w:rPr>
        <w:t>校研究生公共选修课目录</w:t>
      </w:r>
      <w:bookmarkEnd w:id="13"/>
    </w:p>
    <w:tbl>
      <w:tblPr>
        <w:tblStyle w:val="19"/>
        <w:tblpPr w:leftFromText="180" w:rightFromText="180" w:vertAnchor="text" w:horzAnchor="page" w:tblpX="1524" w:tblpY="258"/>
        <w:tblOverlap w:val="never"/>
        <w:tblW w:w="900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51"/>
        <w:gridCol w:w="2715"/>
        <w:gridCol w:w="439"/>
        <w:gridCol w:w="439"/>
        <w:gridCol w:w="439"/>
        <w:gridCol w:w="439"/>
        <w:gridCol w:w="439"/>
        <w:gridCol w:w="606"/>
        <w:gridCol w:w="234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151" w:type="dxa"/>
            <w:vMerge w:val="restart"/>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课程编号</w:t>
            </w:r>
          </w:p>
        </w:tc>
        <w:tc>
          <w:tcPr>
            <w:tcW w:w="2715" w:type="dxa"/>
            <w:vMerge w:val="restart"/>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课程名称</w:t>
            </w:r>
          </w:p>
        </w:tc>
        <w:tc>
          <w:tcPr>
            <w:tcW w:w="439" w:type="dxa"/>
            <w:vMerge w:val="restart"/>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学时</w:t>
            </w:r>
          </w:p>
        </w:tc>
        <w:tc>
          <w:tcPr>
            <w:tcW w:w="439" w:type="dxa"/>
            <w:vMerge w:val="restart"/>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学分</w:t>
            </w:r>
          </w:p>
        </w:tc>
        <w:tc>
          <w:tcPr>
            <w:tcW w:w="1317" w:type="dxa"/>
            <w:gridSpan w:val="3"/>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开课学期</w:t>
            </w:r>
          </w:p>
        </w:tc>
        <w:tc>
          <w:tcPr>
            <w:tcW w:w="606" w:type="dxa"/>
            <w:vMerge w:val="restart"/>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考核方式</w:t>
            </w:r>
          </w:p>
        </w:tc>
        <w:tc>
          <w:tcPr>
            <w:tcW w:w="2341" w:type="dxa"/>
            <w:vMerge w:val="restart"/>
            <w:shd w:val="clear" w:color="auto" w:fill="auto"/>
            <w:noWrap/>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开课学院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151" w:type="dxa"/>
            <w:vMerge w:val="continue"/>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2715" w:type="dxa"/>
            <w:vMerge w:val="continue"/>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439" w:type="dxa"/>
            <w:vMerge w:val="continue"/>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439" w:type="dxa"/>
            <w:vMerge w:val="continue"/>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1</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2</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3</w:t>
            </w:r>
          </w:p>
        </w:tc>
        <w:tc>
          <w:tcPr>
            <w:tcW w:w="606" w:type="dxa"/>
            <w:vMerge w:val="continue"/>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2341" w:type="dxa"/>
            <w:vMerge w:val="continue"/>
            <w:noWrap/>
            <w:vAlign w:val="center"/>
          </w:tcPr>
          <w:p>
            <w:pPr>
              <w:widowControl/>
              <w:spacing w:line="300" w:lineRule="exact"/>
              <w:outlineLvl w:val="0"/>
              <w:rPr>
                <w:rFonts w:ascii="Times New Roman" w:hAnsi="Times New Roman" w:eastAsia="仿宋" w:cs="宋体"/>
                <w:color w:val="000000" w:themeColor="text1"/>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1151"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10332101</w:t>
            </w:r>
          </w:p>
        </w:tc>
        <w:tc>
          <w:tcPr>
            <w:tcW w:w="2715"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日语（第二外国语）</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32</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2</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606"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考试</w:t>
            </w:r>
          </w:p>
        </w:tc>
        <w:tc>
          <w:tcPr>
            <w:tcW w:w="2341"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外国语学院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1151"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10332106</w:t>
            </w:r>
          </w:p>
        </w:tc>
        <w:tc>
          <w:tcPr>
            <w:tcW w:w="2715"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人与环境（双语）</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32</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2</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606"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考试</w:t>
            </w:r>
          </w:p>
        </w:tc>
        <w:tc>
          <w:tcPr>
            <w:tcW w:w="2341"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环境科学与工程学院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1151"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10332107</w:t>
            </w:r>
          </w:p>
        </w:tc>
        <w:tc>
          <w:tcPr>
            <w:tcW w:w="2715"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环境科学前沿</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32</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2</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606"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考试</w:t>
            </w:r>
          </w:p>
        </w:tc>
        <w:tc>
          <w:tcPr>
            <w:tcW w:w="2341"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环境科学与工程学院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1151"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10332113</w:t>
            </w:r>
          </w:p>
        </w:tc>
        <w:tc>
          <w:tcPr>
            <w:tcW w:w="2715"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中国传统文化研究</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32</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2</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606"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考试</w:t>
            </w:r>
          </w:p>
        </w:tc>
        <w:tc>
          <w:tcPr>
            <w:tcW w:w="2341"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社会发展与公共管理学院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1151"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10332116</w:t>
            </w:r>
          </w:p>
        </w:tc>
        <w:tc>
          <w:tcPr>
            <w:tcW w:w="2715"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数学文化与数学之美</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32</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2</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606"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考试</w:t>
            </w:r>
          </w:p>
        </w:tc>
        <w:tc>
          <w:tcPr>
            <w:tcW w:w="2341"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数理学院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1151"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10332121</w:t>
            </w:r>
          </w:p>
        </w:tc>
        <w:tc>
          <w:tcPr>
            <w:tcW w:w="2715"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数学建模</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32</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2</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w:t>
            </w:r>
          </w:p>
        </w:tc>
        <w:tc>
          <w:tcPr>
            <w:tcW w:w="439"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p>
        </w:tc>
        <w:tc>
          <w:tcPr>
            <w:tcW w:w="606"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考查</w:t>
            </w:r>
          </w:p>
        </w:tc>
        <w:tc>
          <w:tcPr>
            <w:tcW w:w="2341" w:type="dxa"/>
            <w:shd w:val="clear" w:color="auto" w:fill="auto"/>
            <w:noWrap/>
            <w:tcMar>
              <w:left w:w="28" w:type="dxa"/>
              <w:right w:w="28" w:type="dxa"/>
            </w:tcMar>
            <w:vAlign w:val="center"/>
          </w:tcPr>
          <w:p>
            <w:pPr>
              <w:widowControl/>
              <w:spacing w:line="300" w:lineRule="exact"/>
              <w:jc w:val="center"/>
              <w:outlineLvl w:val="0"/>
              <w:rPr>
                <w:rFonts w:ascii="Times New Roman" w:hAnsi="Times New Roman" w:eastAsia="仿宋" w:cs="宋体"/>
                <w:color w:val="000000" w:themeColor="text1"/>
                <w:kern w:val="0"/>
                <w:sz w:val="24"/>
              </w:rPr>
            </w:pPr>
            <w:r>
              <w:rPr>
                <w:rFonts w:hint="eastAsia" w:ascii="Times New Roman" w:hAnsi="Times New Roman" w:eastAsia="仿宋" w:cs="宋体"/>
                <w:color w:val="000000" w:themeColor="text1"/>
                <w:kern w:val="0"/>
                <w:sz w:val="24"/>
              </w:rPr>
              <w:t>数理学院</w:t>
            </w:r>
          </w:p>
        </w:tc>
      </w:tr>
    </w:tbl>
    <w:p>
      <w:pPr>
        <w:outlineLvl w:val="0"/>
        <w:rPr>
          <w:rFonts w:ascii="Times New Roman" w:hAnsi="Times New Roman" w:eastAsia="仿宋"/>
          <w:b/>
          <w:color w:val="000000" w:themeColor="text1"/>
          <w:sz w:val="24"/>
        </w:rPr>
      </w:pPr>
    </w:p>
    <w:p>
      <w:pPr>
        <w:outlineLvl w:val="0"/>
        <w:rPr>
          <w:color w:val="000000" w:themeColor="text1"/>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中黑简">
    <w:altName w:val="宋体"/>
    <w:panose1 w:val="00000000000000000000"/>
    <w:charset w:val="86"/>
    <w:family w:val="modern"/>
    <w:pitch w:val="default"/>
    <w:sig w:usb0="00000000" w:usb1="00000000" w:usb2="00000012" w:usb3="00000000" w:csb0="00040000" w:csb1="00000000"/>
  </w:font>
  <w:font w:name="方正黑体简体">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文本框 3" o:spid="_x0000_s4098" o:spt="202" type="#_x0000_t202" style="position:absolute;left:0pt;margin-top:0pt;height:11pt;width:9.1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">
          <v:path arrowok="t"/>
          <v:fill on="f" focussize="0,0"/>
          <v:stroke on="f" weight="0.5pt" joinstyle="miter"/>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4</w:t>
                </w:r>
                <w:r>
                  <w:rPr>
                    <w:lang w:val="zh-CN"/>
                  </w:rPr>
                  <w:fldChar w:fldCharType="end"/>
                </w:r>
              </w:p>
            </w:txbxContent>
          </v:textbox>
        </v:shape>
      </w:pict>
    </w:r>
  </w:p>
  <w:p>
    <w:pPr>
      <w:pStyle w:val="1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文本框 6" o:spid="_x0000_s4097" o:spt="202" type="#_x0000_t202" style="position:absolute;left:0pt;margin-top:0pt;height:11pt;width:9.1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">
          <v:path arrowok="t"/>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35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D631A96"/>
    <w:rsid w:val="00000088"/>
    <w:rsid w:val="000554C2"/>
    <w:rsid w:val="0009292B"/>
    <w:rsid w:val="001E2332"/>
    <w:rsid w:val="00244F38"/>
    <w:rsid w:val="00276997"/>
    <w:rsid w:val="00424649"/>
    <w:rsid w:val="0042537D"/>
    <w:rsid w:val="004D37CD"/>
    <w:rsid w:val="005C6B46"/>
    <w:rsid w:val="00622CD5"/>
    <w:rsid w:val="00764371"/>
    <w:rsid w:val="007F6761"/>
    <w:rsid w:val="00882869"/>
    <w:rsid w:val="00A0659F"/>
    <w:rsid w:val="00A80C7E"/>
    <w:rsid w:val="00D12620"/>
    <w:rsid w:val="00D35828"/>
    <w:rsid w:val="00D45440"/>
    <w:rsid w:val="00DB7843"/>
    <w:rsid w:val="00E27AA6"/>
    <w:rsid w:val="00ED11F6"/>
    <w:rsid w:val="00F21C8D"/>
    <w:rsid w:val="00F50BD3"/>
    <w:rsid w:val="00F65E31"/>
    <w:rsid w:val="00F919CF"/>
    <w:rsid w:val="01BA3B22"/>
    <w:rsid w:val="023D7D81"/>
    <w:rsid w:val="04232EBA"/>
    <w:rsid w:val="08104897"/>
    <w:rsid w:val="09FA389C"/>
    <w:rsid w:val="0A273663"/>
    <w:rsid w:val="0B172046"/>
    <w:rsid w:val="11A06ED9"/>
    <w:rsid w:val="151857C8"/>
    <w:rsid w:val="16527F7E"/>
    <w:rsid w:val="1B704C1F"/>
    <w:rsid w:val="1D631A96"/>
    <w:rsid w:val="202A4524"/>
    <w:rsid w:val="25EA4A79"/>
    <w:rsid w:val="277939E2"/>
    <w:rsid w:val="28DA2F8D"/>
    <w:rsid w:val="294A420D"/>
    <w:rsid w:val="2ADE3851"/>
    <w:rsid w:val="2E757555"/>
    <w:rsid w:val="34332273"/>
    <w:rsid w:val="3DAB6830"/>
    <w:rsid w:val="4038518A"/>
    <w:rsid w:val="40B0335C"/>
    <w:rsid w:val="48D96190"/>
    <w:rsid w:val="4966630B"/>
    <w:rsid w:val="4BD733D2"/>
    <w:rsid w:val="4F47793D"/>
    <w:rsid w:val="53690EB5"/>
    <w:rsid w:val="56532CF6"/>
    <w:rsid w:val="5AEF33FC"/>
    <w:rsid w:val="62A909E5"/>
    <w:rsid w:val="65EC592A"/>
    <w:rsid w:val="660775CE"/>
    <w:rsid w:val="67A34553"/>
    <w:rsid w:val="67EB751D"/>
    <w:rsid w:val="7048442A"/>
    <w:rsid w:val="73533B45"/>
    <w:rsid w:val="78351A76"/>
    <w:rsid w:val="78563FA2"/>
    <w:rsid w:val="7CE5363D"/>
    <w:rsid w:val="7DB00CFE"/>
    <w:rsid w:val="7E1E09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4"/>
    <w:basedOn w:val="1"/>
    <w:next w:val="1"/>
    <w:link w:val="26"/>
    <w:unhideWhenUsed/>
    <w:qFormat/>
    <w:uiPriority w:val="0"/>
    <w:pPr>
      <w:keepNext/>
      <w:keepLines/>
      <w:spacing w:line="372" w:lineRule="auto"/>
      <w:outlineLvl w:val="3"/>
    </w:pPr>
    <w:rPr>
      <w:rFonts w:ascii="Arial" w:hAnsi="Arial" w:eastAsia="黑体"/>
      <w:b/>
      <w:sz w:val="28"/>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szCs w:val="22"/>
    </w:rPr>
  </w:style>
  <w:style w:type="paragraph" w:styleId="6">
    <w:name w:val="Body Text Indent"/>
    <w:basedOn w:val="1"/>
    <w:qFormat/>
    <w:uiPriority w:val="0"/>
    <w:pPr>
      <w:spacing w:after="120"/>
      <w:ind w:left="420" w:leftChars="200"/>
    </w:pPr>
  </w:style>
  <w:style w:type="paragraph" w:styleId="7">
    <w:name w:val="toc 5"/>
    <w:basedOn w:val="1"/>
    <w:next w:val="1"/>
    <w:unhideWhenUsed/>
    <w:qFormat/>
    <w:uiPriority w:val="39"/>
    <w:pPr>
      <w:ind w:left="1680" w:leftChars="800"/>
    </w:pPr>
    <w:rPr>
      <w:szCs w:val="22"/>
    </w:rPr>
  </w:style>
  <w:style w:type="paragraph" w:styleId="8">
    <w:name w:val="toc 3"/>
    <w:basedOn w:val="1"/>
    <w:next w:val="1"/>
    <w:unhideWhenUsed/>
    <w:qFormat/>
    <w:uiPriority w:val="39"/>
    <w:pPr>
      <w:ind w:left="840" w:leftChars="400"/>
    </w:pPr>
    <w:rPr>
      <w:szCs w:val="22"/>
    </w:rPr>
  </w:style>
  <w:style w:type="paragraph" w:styleId="9">
    <w:name w:val="toc 8"/>
    <w:basedOn w:val="1"/>
    <w:next w:val="1"/>
    <w:unhideWhenUsed/>
    <w:qFormat/>
    <w:uiPriority w:val="39"/>
    <w:pPr>
      <w:ind w:left="2940" w:leftChars="1400"/>
    </w:pPr>
    <w:rPr>
      <w:szCs w:val="22"/>
    </w:rPr>
  </w:style>
  <w:style w:type="paragraph" w:styleId="10">
    <w:name w:val="Balloon Text"/>
    <w:basedOn w:val="1"/>
    <w:link w:val="28"/>
    <w:qFormat/>
    <w:uiPriority w:val="0"/>
    <w:rPr>
      <w:sz w:val="18"/>
      <w:szCs w:val="18"/>
    </w:rPr>
  </w:style>
  <w:style w:type="paragraph" w:styleId="11">
    <w:name w:val="footer"/>
    <w:basedOn w:val="1"/>
    <w:unhideWhenUsed/>
    <w:qFormat/>
    <w:uiPriority w:val="99"/>
    <w:pPr>
      <w:tabs>
        <w:tab w:val="center" w:pos="4153"/>
        <w:tab w:val="right" w:pos="8306"/>
      </w:tabs>
      <w:snapToGrid w:val="0"/>
      <w:jc w:val="left"/>
    </w:pPr>
    <w:rPr>
      <w:kern w:val="0"/>
      <w:sz w:val="18"/>
      <w:szCs w:val="18"/>
    </w:rPr>
  </w:style>
  <w:style w:type="paragraph" w:styleId="12">
    <w:name w:val="header"/>
    <w:basedOn w:val="1"/>
    <w:link w:val="29"/>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296"/>
      </w:tabs>
    </w:pPr>
    <w:rPr>
      <w:rFonts w:ascii="黑体" w:hAnsi="Times New Roman" w:eastAsia="黑体" w:cs="Times New Roman"/>
      <w:bCs/>
      <w:kern w:val="0"/>
      <w:sz w:val="28"/>
      <w:szCs w:val="28"/>
    </w:rPr>
  </w:style>
  <w:style w:type="paragraph" w:styleId="14">
    <w:name w:val="toc 4"/>
    <w:basedOn w:val="1"/>
    <w:next w:val="1"/>
    <w:unhideWhenUsed/>
    <w:qFormat/>
    <w:uiPriority w:val="39"/>
    <w:pPr>
      <w:ind w:left="1260" w:leftChars="600"/>
    </w:pPr>
    <w:rPr>
      <w:szCs w:val="22"/>
    </w:rPr>
  </w:style>
  <w:style w:type="paragraph" w:styleId="15">
    <w:name w:val="toc 6"/>
    <w:basedOn w:val="1"/>
    <w:next w:val="1"/>
    <w:unhideWhenUsed/>
    <w:qFormat/>
    <w:uiPriority w:val="39"/>
    <w:pPr>
      <w:ind w:left="2100" w:leftChars="1000"/>
    </w:pPr>
    <w:rPr>
      <w:szCs w:val="22"/>
    </w:rPr>
  </w:style>
  <w:style w:type="paragraph" w:styleId="16">
    <w:name w:val="toc 2"/>
    <w:basedOn w:val="1"/>
    <w:next w:val="1"/>
    <w:unhideWhenUsed/>
    <w:uiPriority w:val="39"/>
    <w:pPr>
      <w:ind w:left="420" w:leftChars="200"/>
    </w:pPr>
    <w:rPr>
      <w:szCs w:val="22"/>
    </w:rPr>
  </w:style>
  <w:style w:type="paragraph" w:styleId="17">
    <w:name w:val="toc 9"/>
    <w:basedOn w:val="1"/>
    <w:next w:val="1"/>
    <w:unhideWhenUsed/>
    <w:qFormat/>
    <w:uiPriority w:val="39"/>
    <w:pPr>
      <w:ind w:left="3360" w:leftChars="1600"/>
    </w:pPr>
    <w:rPr>
      <w:szCs w:val="22"/>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1">
    <w:name w:val="Hyperlink"/>
    <w:qFormat/>
    <w:uiPriority w:val="99"/>
    <w:rPr>
      <w:color w:val="0000FF"/>
      <w:u w:val="none"/>
    </w:rPr>
  </w:style>
  <w:style w:type="character" w:customStyle="1" w:styleId="22">
    <w:name w:val="style11"/>
    <w:qFormat/>
    <w:uiPriority w:val="0"/>
    <w:rPr>
      <w:sz w:val="18"/>
      <w:szCs w:val="18"/>
    </w:rPr>
  </w:style>
  <w:style w:type="character" w:customStyle="1" w:styleId="23">
    <w:name w:val="5文内小标题方正黑 Char"/>
    <w:link w:val="24"/>
    <w:qFormat/>
    <w:uiPriority w:val="0"/>
    <w:rPr>
      <w:rFonts w:ascii="宋体" w:hAnsi="汉仪中黑简" w:eastAsia="方正黑体简体" w:cs="宋体"/>
      <w:color w:val="000000"/>
      <w:kern w:val="0"/>
      <w:sz w:val="24"/>
      <w:szCs w:val="24"/>
    </w:rPr>
  </w:style>
  <w:style w:type="paragraph" w:customStyle="1" w:styleId="24">
    <w:name w:val="5文内小标题方正黑"/>
    <w:basedOn w:val="1"/>
    <w:next w:val="1"/>
    <w:link w:val="23"/>
    <w:qFormat/>
    <w:uiPriority w:val="0"/>
    <w:pPr>
      <w:topLinePunct/>
      <w:snapToGrid w:val="0"/>
      <w:spacing w:line="360" w:lineRule="exact"/>
      <w:ind w:firstLine="420" w:firstLineChars="200"/>
    </w:pPr>
    <w:rPr>
      <w:rFonts w:ascii="宋体" w:hAnsi="汉仪中黑简" w:eastAsia="方正黑体简体" w:cs="宋体"/>
      <w:color w:val="000000"/>
      <w:kern w:val="0"/>
      <w:sz w:val="24"/>
    </w:rPr>
  </w:style>
  <w:style w:type="paragraph" w:styleId="25">
    <w:name w:val="List Paragraph"/>
    <w:basedOn w:val="1"/>
    <w:qFormat/>
    <w:uiPriority w:val="34"/>
    <w:pPr>
      <w:ind w:firstLine="420" w:firstLineChars="200"/>
    </w:pPr>
  </w:style>
  <w:style w:type="character" w:customStyle="1" w:styleId="26">
    <w:name w:val="标题 4 Char"/>
    <w:link w:val="4"/>
    <w:uiPriority w:val="0"/>
    <w:rPr>
      <w:rFonts w:ascii="Arial" w:hAnsi="Arial" w:eastAsia="黑体"/>
      <w:b/>
      <w:sz w:val="28"/>
    </w:rPr>
  </w:style>
  <w:style w:type="paragraph" w:customStyle="1" w:styleId="27">
    <w:name w:val="WPSOffice手动目录 1"/>
    <w:qFormat/>
    <w:uiPriority w:val="0"/>
    <w:rPr>
      <w:rFonts w:ascii="Calibri" w:hAnsi="Calibri" w:eastAsia="宋体" w:cs="Times New Roman"/>
      <w:lang w:val="en-US" w:eastAsia="zh-CN" w:bidi="ar-SA"/>
    </w:rPr>
  </w:style>
  <w:style w:type="character" w:customStyle="1" w:styleId="28">
    <w:name w:val="批注框文本 Char"/>
    <w:basedOn w:val="20"/>
    <w:link w:val="10"/>
    <w:qFormat/>
    <w:uiPriority w:val="0"/>
    <w:rPr>
      <w:rFonts w:asciiTheme="minorHAnsi" w:hAnsiTheme="minorHAnsi" w:eastAsiaTheme="minorEastAsia" w:cstheme="minorBidi"/>
      <w:kern w:val="2"/>
      <w:sz w:val="18"/>
      <w:szCs w:val="18"/>
    </w:rPr>
  </w:style>
  <w:style w:type="character" w:customStyle="1" w:styleId="29">
    <w:name w:val="页眉 Char"/>
    <w:basedOn w:val="20"/>
    <w:link w:val="12"/>
    <w:qFormat/>
    <w:uiPriority w:val="0"/>
    <w:rPr>
      <w:rFonts w:asciiTheme="minorHAnsi" w:hAnsiTheme="minorHAnsi" w:eastAsiaTheme="minorEastAsia" w:cstheme="minorBidi"/>
      <w:kern w:val="2"/>
      <w:sz w:val="18"/>
      <w:szCs w:val="18"/>
    </w:rPr>
  </w:style>
  <w:style w:type="paragraph" w:customStyle="1" w:styleId="30">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012CB4-4A70-4C42-8BC3-1CD2B951411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36</Pages>
  <Words>4476</Words>
  <Characters>25518</Characters>
  <Lines>212</Lines>
  <Paragraphs>59</Paragraphs>
  <TotalTime>129</TotalTime>
  <ScaleCrop>false</ScaleCrop>
  <LinksUpToDate>false</LinksUpToDate>
  <CharactersWithSpaces>29935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2020-06-01T01:28:00Z</dcterms:created>
  <dc:creator>xcz</dc:creator>
  <cp:lastModifiedBy>郝翔</cp:lastModifiedBy>
  <dcterms:modified xsi:type="dcterms:W3CDTF">2020-07-31T06:40:15Z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